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9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340" cy="176339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95340" cy="17633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муниципального образования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  <w:t xml:space="preserve">город Краснодар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60"/>
                                <w:szCs w:val="60"/>
                                <w:lang w:val="ru-RU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96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2;o:allowoverlap:true;o:allowincell:true;mso-position-horizontal-relative:page;margin-left:49.45pt;mso-position-horizontal:absolute;mso-position-vertical-relative:text;margin-top:24.60pt;mso-position-vertical:absolute;width:464.20pt;height:138.85pt;mso-wrap-distance-left:9.00pt;mso-wrap-distance-top:0.00pt;mso-wrap-distance-right:9.00pt;mso-wrap-distance-bottom:0.00pt;v-text-anchor:middle;visibility:visible;" filled="f" stroked="f" strokeweight="1.00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  <w:t xml:space="preserve">Инвестиционный обзор муниципального образования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  <w:t xml:space="preserve">город Краснодар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60"/>
                          <w:szCs w:val="60"/>
                          <w:lang w:val="ru-RU"/>
                        </w:rPr>
                      </w:r>
                    </w:p>
                    <w:p>
                      <w:pPr>
                        <w:jc w:val="center"/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pP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96"/>
                          <w:szCs w:val="28"/>
                          <w:lang w:val="ru-RU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0785" cy="106807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50785" cy="1068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0609663;o:allowoverlap:true;o:allowincell:true;mso-position-horizontal-relative:page;mso-position-horizontal:right;mso-position-vertical-relative:text;margin-top:-70.85pt;mso-position-vertical:absolute;width:594.55pt;height:841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349250</wp:posOffset>
                </wp:positionV>
                <wp:extent cx="3294380" cy="149352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4380" cy="1493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1 полугодия 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  <w:t xml:space="preserve">2024 года </w:t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  <w:r>
                              <w:rPr>
                                <w:rFonts w:ascii="Times New Roman" w:hAnsi="Times New Roman" w:eastAsia="Kozuka Gothic Pro B"/>
                                <w:b/>
                                <w:color w:val="404040"/>
                                <w:sz w:val="54"/>
                                <w:szCs w:val="54"/>
                                <w:lang w:val="ru-RU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  <w:r>
                              <w:rPr>
                                <w:rFonts w:eastAsia="Kozuka Gothic Pro B" w:cs="Calibri"/>
                                <w:b/>
                                <w:color w:val="404040"/>
                                <w:sz w:val="36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page;margin-left:24.30pt;mso-position-horizontal:absolute;mso-position-vertical-relative:text;margin-top:27.50pt;mso-position-vertical:absolute;width:259.40pt;height:117.60pt;mso-wrap-distance-left:9.00pt;mso-wrap-distance-top:0.00pt;mso-wrap-distance-right:9.00pt;mso-wrap-distance-bottom:0.00pt;v-text-anchor:middle;visibility:visible;" filled="f" stroked="f" strokeweight="1.00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1 полугодия 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  <w:t xml:space="preserve">2024 года </w:t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  <w:r>
                        <w:rPr>
                          <w:rFonts w:ascii="Times New Roman" w:hAnsi="Times New Roman" w:eastAsia="Kozuka Gothic Pro B"/>
                          <w:b/>
                          <w:color w:val="404040"/>
                          <w:sz w:val="54"/>
                          <w:szCs w:val="54"/>
                          <w:lang w:val="ru-RU"/>
                        </w:rPr>
                      </w:r>
                    </w:p>
                    <w:p>
                      <w:pPr>
                        <w:jc w:val="center"/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pP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  <w:r>
                        <w:rPr>
                          <w:rFonts w:eastAsia="Kozuka Gothic Pro B" w:cs="Calibri"/>
                          <w:b/>
                          <w:color w:val="404040"/>
                          <w:sz w:val="36"/>
                          <w:szCs w:val="28"/>
                          <w:lang w:val="ru-RU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  <w:r>
        <w:rPr>
          <w:lang w:val="ru-RU"/>
        </w:rPr>
      </w:r>
    </w:p>
    <w:p>
      <w:r/>
      <w:r/>
    </w:p>
    <w:p>
      <w:r/>
      <w:r/>
    </w:p>
    <w:p>
      <w:r/>
      <w:r/>
    </w:p>
    <w:p>
      <w:pPr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70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Общая характеристика инвестиций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итогам 1 полугодия 2024 года, в соответствии с представленными данным Управления Федеральной службы государственной статистики по Краснодарскому краю и Республике Адыгея (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Краснодарстата</w:t>
      </w:r>
      <w:r>
        <w:rPr>
          <w:rFonts w:ascii="Times New Roman" w:hAnsi="Times New Roman"/>
          <w:sz w:val="28"/>
          <w:szCs w:val="28"/>
          <w:lang w:val="ru-RU"/>
        </w:rPr>
        <w:t xml:space="preserve">), объём инвестиций в основной капитал на территории муниципального образования город Краснодар по кругу средних и крупных предприятий составил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89,6 млрд руб.</w:t>
      </w:r>
      <w:r>
        <w:rPr>
          <w:rFonts w:ascii="Times New Roman" w:hAnsi="Times New Roman"/>
          <w:sz w:val="28"/>
          <w:szCs w:val="28"/>
          <w:lang w:val="ru-RU"/>
        </w:rPr>
        <w:t xml:space="preserve">, или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118,9%</w:t>
      </w:r>
      <w:r>
        <w:rPr>
          <w:rFonts w:ascii="Times New Roman" w:hAnsi="Times New Roman"/>
          <w:sz w:val="28"/>
          <w:szCs w:val="28"/>
          <w:lang w:val="ru-RU"/>
        </w:rPr>
        <w:t xml:space="preserve"> к соответствующим данным за предшествующий год.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</w:t>
      </w:r>
      <w:r>
        <w:rPr>
          <w:rFonts w:ascii="Times New Roman" w:hAnsi="Times New Roman"/>
          <w:sz w:val="28"/>
          <w:szCs w:val="28"/>
          <w:lang w:val="ru-RU"/>
        </w:rPr>
        <w:t xml:space="preserve">ии Краснодарского края объем инвестиций за 1 полугодие 2024 года составил 316 млрд руб., при этом краевой темп роста по отношению к результату за соответствующий период прошлого года составил 110,3%. Инвестиции муниципального образования город Краснодар в </w:t>
      </w:r>
      <w:r>
        <w:rPr>
          <w:rFonts w:ascii="Times New Roman" w:hAnsi="Times New Roman"/>
          <w:sz w:val="28"/>
          <w:szCs w:val="28"/>
          <w:lang w:val="ru-RU"/>
        </w:rPr>
        <w:t xml:space="preserve">общекраевом</w:t>
      </w:r>
      <w:r>
        <w:rPr>
          <w:rFonts w:ascii="Times New Roman" w:hAnsi="Times New Roman"/>
          <w:sz w:val="28"/>
          <w:szCs w:val="28"/>
          <w:lang w:val="ru-RU"/>
        </w:rPr>
        <w:t xml:space="preserve"> объёме инвестиционных вложений составляют 28,4% и занимают 1 место среди городских округов и муниципальных районов Краснодарского края.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Городские округа и муниципальные районы   Краснодарского края с наибольшим объемом инвестиций, млн. руб.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Доля Краснодара в объеме инвестиций Краснодарского края, %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ind w:left="426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943634"/>
          <w:sz w:val="18"/>
          <w:szCs w:val="18"/>
          <w:lang w:val="ru-RU"/>
        </w:rPr>
      </w:pP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color w:val="943634"/>
          <w:sz w:val="18"/>
          <w:szCs w:val="18"/>
          <w:lang w:val="ru-RU"/>
        </w:rPr>
      </w:pPr>
      <w:r>
        <w:rPr>
          <w:lang w:val="ru-RU" w:eastAsia="ru-RU"/>
        </w:rPr>
        <w:drawing>
          <wp:inline distT="0" distB="0" distL="0" distR="0">
            <wp:extent cx="3897652" cy="2315560"/>
            <wp:effectExtent l="4762" t="4762" r="4762" b="4762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lang w:val="ru-RU" w:eastAsia="ru-RU"/>
        </w:rPr>
        <w:drawing>
          <wp:inline distT="0" distB="0" distL="0" distR="0">
            <wp:extent cx="1948320" cy="2315560"/>
            <wp:effectExtent l="0" t="0" r="1397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  <w:r>
        <w:rPr>
          <w:rFonts w:ascii="Times New Roman" w:hAnsi="Times New Roman"/>
          <w:b/>
          <w:color w:val="943634"/>
          <w:sz w:val="18"/>
          <w:szCs w:val="18"/>
          <w:lang w:val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8"/>
          <w:szCs w:val="28"/>
          <w:highlight w:val="lightGray"/>
          <w:lang w:val="ru-RU"/>
        </w:rPr>
      </w:pPr>
      <w:r>
        <w:rPr>
          <w:rFonts w:ascii="Times New Roman" w:hAnsi="Times New Roman"/>
          <w:sz w:val="28"/>
          <w:szCs w:val="28"/>
          <w:highlight w:val="lightGray"/>
          <w:lang w:val="ru-RU"/>
        </w:rPr>
      </w:r>
      <w:r>
        <w:rPr>
          <w:rFonts w:ascii="Times New Roman" w:hAnsi="Times New Roman"/>
          <w:sz w:val="28"/>
          <w:szCs w:val="28"/>
          <w:highlight w:val="lightGray"/>
          <w:lang w:val="ru-RU"/>
        </w:rPr>
      </w:r>
      <w:r>
        <w:rPr>
          <w:rFonts w:ascii="Times New Roman" w:hAnsi="Times New Roman"/>
          <w:sz w:val="28"/>
          <w:szCs w:val="28"/>
          <w:highlight w:val="lightGray"/>
          <w:lang w:val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Существенное влияние на высокий темп роста объёма инвестиций за            1 полугодие 2024 года по отношению к аналогичному периоду прошлого года оказали такие крупные предприятия, как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ООО «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Инвестстрой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ООО «</w:t>
      </w:r>
      <w:r>
        <w:rPr>
          <w:rFonts w:ascii="Times New Roman" w:hAnsi="Times New Roman"/>
          <w:sz w:val="28"/>
          <w:szCs w:val="28"/>
          <w:lang w:val="ru-RU"/>
        </w:rPr>
        <w:t xml:space="preserve">Сельта</w:t>
      </w:r>
      <w:r>
        <w:rPr>
          <w:rFonts w:ascii="Times New Roman" w:hAnsi="Times New Roman"/>
          <w:sz w:val="28"/>
          <w:szCs w:val="28"/>
          <w:lang w:val="ru-RU"/>
        </w:rPr>
        <w:t xml:space="preserve">», АО «Тандер», филиал ОАО «РЖД» филиал ПАО «</w:t>
      </w:r>
      <w:r>
        <w:rPr>
          <w:rFonts w:ascii="Times New Roman" w:hAnsi="Times New Roman"/>
          <w:sz w:val="28"/>
          <w:szCs w:val="28"/>
          <w:lang w:val="ru-RU"/>
        </w:rPr>
        <w:t xml:space="preserve">Россети</w:t>
      </w:r>
      <w:r>
        <w:rPr>
          <w:rFonts w:ascii="Times New Roman" w:hAnsi="Times New Roman"/>
          <w:sz w:val="28"/>
          <w:szCs w:val="28"/>
          <w:lang w:val="ru-RU"/>
        </w:rPr>
        <w:t xml:space="preserve">»,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ООО «Лукойл-Кубаньэнерго», филиал ПАО «МТС», МУП «КТТУ»,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br/>
        <w:t xml:space="preserve">АО «Международный аэропорт «Краснодар», АО «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Макр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», ООО «ЮЗТС», ООО «СЗ-З «Юси Кубань», вложившие свыше 1 млрд. руб.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первом полугодии 2024 года было заключено 8 протоколов о намерениях по взаимодействию в сфере инвестиций на общую сумму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br/>
        <w:t xml:space="preserve">6400 млн. руб., из них в социальной сфере - 1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инвестпроект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, 1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инвестпроект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-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отрасли топливно-энергетического хозяйства, 2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инвестпроекта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- в потребительской сфере, в сфере сельского хозяйства - 1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инвестпроект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и 3 проекта в промышленной отрасли. В результате реализации этих проектов город получит 416 рабочих мест.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contextualSpacing/>
        <w:jc w:val="center"/>
        <w:shd w:val="clear" w:color="auto" w:fill="ffffff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contextualSpacing/>
        <w:jc w:val="center"/>
        <w:shd w:val="clear" w:color="auto" w:fill="ffffff"/>
        <w:tabs>
          <w:tab w:val="left" w:pos="993" w:leader="none"/>
        </w:tabs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Источники инвестиций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contextualSpacing/>
        <w:jc w:val="center"/>
        <w:shd w:val="clear" w:color="auto" w:fill="ffffff"/>
        <w:tabs>
          <w:tab w:val="left" w:pos="993" w:leader="none"/>
        </w:tabs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</w:r>
      <w:r>
        <w:rPr>
          <w:rFonts w:ascii="Times New Roman" w:hAnsi="Times New Roman"/>
          <w:b/>
          <w:sz w:val="20"/>
          <w:szCs w:val="20"/>
          <w:lang w:val="ru-RU"/>
        </w:rPr>
      </w:r>
      <w:r>
        <w:rPr>
          <w:rFonts w:ascii="Times New Roman" w:hAnsi="Times New Roman"/>
          <w:b/>
          <w:sz w:val="20"/>
          <w:szCs w:val="20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1 полугодие 2024 года выглядит следующим образом: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собственные средства –  59,5 млрд руб. или 66,4% от общего объема инвестиций;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привлеченные средства – 30 млрд руб. или 33,6% от всего объема инвестиций города Краснодара за отчетный период.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Финансирование инвестиционных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проектов  осуществляется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в большей степени за счет собственных средств.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Объём собственных средств повысился на 11,8% по сравнению с аналогичным периодом прошлого года.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Привлеченные средства формировались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за счет бюджетных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средств,  заемных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средств других организаций, поступлений от кредитных организаций и прочих источников.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/>
          <w:sz w:val="28"/>
          <w:szCs w:val="28"/>
          <w:highlight w:val="green"/>
          <w:lang w:val="ru-RU"/>
        </w:rPr>
      </w:r>
      <w:r>
        <w:rPr>
          <w:rFonts w:ascii="Times New Roman" w:hAnsi="Times New Roman"/>
          <w:sz w:val="28"/>
          <w:szCs w:val="28"/>
          <w:highlight w:val="green"/>
          <w:lang w:val="ru-RU"/>
        </w:rPr>
      </w:r>
      <w:r>
        <w:rPr>
          <w:rFonts w:ascii="Times New Roman" w:hAnsi="Times New Roman"/>
          <w:sz w:val="28"/>
          <w:szCs w:val="28"/>
          <w:highlight w:val="green"/>
          <w:lang w:val="ru-RU"/>
        </w:rPr>
      </w:r>
    </w:p>
    <w:p>
      <w:pPr>
        <w:ind w:firstLine="56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Структура привлеченных средств за 1 полугодие 2023 и 2024 годов, %: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560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spacing w:after="0" w:line="240" w:lineRule="auto"/>
        <w:shd w:val="clear" w:color="auto" w:fill="ffffff"/>
        <w:rPr>
          <w:lang w:val="ru-RU" w:eastAsia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89986" behindDoc="0" locked="0" layoutInCell="1" allowOverlap="1">
                <wp:simplePos x="0" y="0"/>
                <wp:positionH relativeFrom="column">
                  <wp:posOffset>3750015</wp:posOffset>
                </wp:positionH>
                <wp:positionV relativeFrom="paragraph">
                  <wp:posOffset>11979</wp:posOffset>
                </wp:positionV>
                <wp:extent cx="1991672" cy="295275"/>
                <wp:effectExtent l="3175" t="3175" r="3175" b="31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91671" cy="29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Liberation Serif" w:hAnsi="Liberation Serif" w:eastAsia="Liberation Serif" w:cs="Liberation Serif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Liberation Serif" w:hAnsi="Liberation Serif" w:eastAsia="Liberation Serif" w:cs="Liberation Serif"/>
                                <w:sz w:val="28"/>
                                <w:szCs w:val="28"/>
                              </w:rPr>
                              <w:t xml:space="preserve">полугодие</w:t>
                            </w:r>
                            <w:r>
                              <w:rPr>
                                <w:rFonts w:ascii="Liberation Serif" w:hAnsi="Liberation Serif" w:eastAsia="Liberation Serif" w:cs="Liberation Serif"/>
                                <w:sz w:val="28"/>
                                <w:szCs w:val="28"/>
                              </w:rPr>
                              <w:t xml:space="preserve"> 2023 </w:t>
                            </w:r>
                            <w:r>
                              <w:rPr>
                                <w:rFonts w:ascii="Liberation Serif" w:hAnsi="Liberation Serif" w:eastAsia="Liberation Serif" w:cs="Liberation Serif"/>
                                <w:sz w:val="28"/>
                                <w:szCs w:val="28"/>
                              </w:rPr>
                              <w:t xml:space="preserve">года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89986;o:allowoverlap:true;o:allowincell:true;mso-position-horizontal-relative:text;margin-left:295.28pt;mso-position-horizontal:absolute;mso-position-vertical-relative:text;margin-top:0.94pt;mso-position-vertical:absolute;width:156.82pt;height:23.25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>
                        <w:rPr>
                          <w:rFonts w:ascii="Liberation Serif" w:hAnsi="Liberation Serif" w:eastAsia="Liberation Serif" w:cs="Liberation Serif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Liberation Serif" w:hAnsi="Liberation Serif" w:eastAsia="Liberation Serif" w:cs="Liberation Serif"/>
                          <w:sz w:val="28"/>
                          <w:szCs w:val="28"/>
                        </w:rPr>
                        <w:t xml:space="preserve">полугодие</w:t>
                      </w:r>
                      <w:r>
                        <w:rPr>
                          <w:rFonts w:ascii="Liberation Serif" w:hAnsi="Liberation Serif" w:eastAsia="Liberation Serif" w:cs="Liberation Serif"/>
                          <w:sz w:val="28"/>
                          <w:szCs w:val="28"/>
                        </w:rPr>
                        <w:t xml:space="preserve"> 2023 </w:t>
                      </w:r>
                      <w:r>
                        <w:rPr>
                          <w:rFonts w:ascii="Liberation Serif" w:hAnsi="Liberation Serif" w:eastAsia="Liberation Serif" w:cs="Liberation Serif"/>
                          <w:sz w:val="28"/>
                          <w:szCs w:val="28"/>
                        </w:rPr>
                        <w:t xml:space="preserve">года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 w:eastAsia="ru-RU"/>
        </w:rPr>
        <w:t xml:space="preserve"> </w:t>
      </w:r>
      <w:r>
        <w:rPr>
          <w:lang w:val="ru-RU" w:eastAsia="ru-RU"/>
        </w:rPr>
        <w:drawing>
          <wp:inline distT="0" distB="0" distL="0" distR="0">
            <wp:extent cx="3523171" cy="2188441"/>
            <wp:effectExtent l="0" t="0" r="1270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lang w:val="ru-RU" w:eastAsia="ru-RU"/>
        </w:rPr>
        <w:drawing>
          <wp:inline distT="0" distB="0" distL="0" distR="0">
            <wp:extent cx="2276475" cy="2188441"/>
            <wp:effectExtent l="0" t="0" r="9525" b="25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абсолютном выражении состав привлеченных средств можно рассмотреть в диаграмме ниже: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Структура привлеченных средств за 1 полугодие 2023 и 2024 годов, млрд руб.: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5543583" cy="1959628"/>
            <wp:effectExtent l="4762" t="4762" r="4762" b="476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pPr>
      <w:r/>
      <w:bookmarkStart w:id="0" w:name="_GoBack"/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Привлеченные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средств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а в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1 полугодии 2024 года по сравнению с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1 полугодием 2023 года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в абсолютных показателях не изменилась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- 30 млрд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руб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, однако доля их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общем объёме относительно собственных средств инвесторов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снизилась на 11.8% и составляет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всего лишь 33,6%.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представленной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</w:t>
      </w:r>
      <w:r>
        <w:rPr>
          <w:rFonts w:ascii="Times New Roman" w:hAnsi="Times New Roman"/>
          <w:sz w:val="28"/>
          <w:szCs w:val="28"/>
        </w:rPr>
        <w:t xml:space="preserve"> видно, </w:t>
      </w:r>
      <w:r>
        <w:rPr>
          <w:rFonts w:ascii="Times New Roman" w:hAnsi="Times New Roman"/>
          <w:sz w:val="28"/>
          <w:szCs w:val="28"/>
        </w:rPr>
        <w:t xml:space="preserve">что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1 полугодии 2024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сравнении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аналогичным периодом 2023 года п</w:t>
      </w:r>
      <w:r>
        <w:rPr>
          <w:rFonts w:ascii="Times New Roman" w:hAnsi="Times New Roman"/>
          <w:sz w:val="28"/>
          <w:szCs w:val="28"/>
        </w:rPr>
        <w:t xml:space="preserve">роисходит</w:t>
      </w:r>
      <w:r>
        <w:rPr>
          <w:rFonts w:ascii="Times New Roman" w:hAnsi="Times New Roman"/>
          <w:sz w:val="28"/>
          <w:szCs w:val="28"/>
          <w:lang w:val="ru-RU"/>
        </w:rPr>
        <w:t xml:space="preserve"> небольшое снижение кредитов банков и заемн</w:t>
      </w:r>
      <w:r>
        <w:rPr>
          <w:rFonts w:ascii="Times New Roman" w:hAnsi="Times New Roman"/>
          <w:sz w:val="28"/>
          <w:szCs w:val="28"/>
          <w:lang w:val="ru-RU"/>
        </w:rPr>
        <w:t xml:space="preserve">ых средств других организаций,</w:t>
      </w:r>
      <w:r>
        <w:rPr>
          <w:rFonts w:ascii="Times New Roman" w:hAnsi="Times New Roman"/>
          <w:sz w:val="28"/>
          <w:szCs w:val="28"/>
          <w:lang w:val="ru-RU"/>
        </w:rPr>
        <w:t xml:space="preserve"> бюджетные инвестиции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увеличились.</w:t>
      </w:r>
      <w:bookmarkEnd w:id="0"/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ff0000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Видовая структура инвестиций в основной капитал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4889460" cy="3122023"/>
            <wp:effectExtent l="0" t="0" r="6985" b="25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                        </w:t>
      </w:r>
      <w:r>
        <w:rPr>
          <w:lang w:val="ru-RU" w:eastAsia="ru-RU"/>
        </w:rPr>
        <w:drawing>
          <wp:inline distT="0" distB="0" distL="0" distR="0">
            <wp:extent cx="4027680" cy="2258467"/>
            <wp:effectExtent l="4762" t="4762" r="4762" b="4762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1 полугодии 2024 года основные инвестиции были направлены на приобретение машин и оборудование, включая хозяйствен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ный инвентарь и другие объекты, их доля составила 40,3% (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36 млрд руб.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).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Данный показатель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в относительных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измерениях практически не претерпел изменений (-1%)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по сра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внению с аналогичным периодом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2023 года.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На втором месте - строительство зданий (кроме жилых) и сооружений, включая расходы на улучшение земель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 долей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38,9% или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34,8 млрд руб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(темпы роста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показателя значительно снизились -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на 12,9%).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Заметный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рост инвестиций произошел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в объекты инте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ллектуальной собственности – 8,2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% по сравнению с аналогичным периодом предыдущего года.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Сейчас доля этих инвестиции составляет 9,8% или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8,8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млрд.руб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Также в 1 полугодии 2024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увеличился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темп роста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по жилым зданиям и сооружениям с 3,3% до 8,5% (или 7,6 млрд руб.)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Отраслевая структура инвестиций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</w:pPr>
      <w:r/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проведенного сравнительного анализа отраслевой структуры инвестиций муниципального образования город Краснодар темп роста 1 полугодия 2024 года по отношению к 1 полугодию 2023 году составил 118,9%.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Отраслевая структура инвестиций МО г. Краснодар,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млрд.руб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5939790" cy="3555138"/>
            <wp:effectExtent l="4762" t="4762" r="4762" b="4762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Темпы роста инвестиций по отраслям по результатам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1 полугодия 2024 года относительно 1 полугодия 2023 года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Доля каждой отрасли в общем объеме инвестиций, %: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tbl>
      <w:tblPr>
        <w:tblpPr w:horzAnchor="margin" w:tblpXSpec="left" w:vertAnchor="page" w:tblpY="8941" w:leftFromText="180" w:topFromText="0" w:rightFromText="180" w:bottomFromText="0"/>
        <w:tblW w:w="9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559"/>
        <w:gridCol w:w="1331"/>
      </w:tblGrid>
      <w:tr>
        <w:tblPrEx/>
        <w:trPr>
          <w:trHeight w:val="876"/>
        </w:trPr>
        <w:tc>
          <w:tcPr>
            <w:shd w:val="clear" w:color="ffffff" w:fill="adcbbb"/>
            <w:tcW w:w="325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Отрасли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adcbbb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пл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 2024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млрд руб.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adcbbb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Темпы роста,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%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adcbbb"/>
            <w:tcW w:w="155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пл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 2023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млрд руб.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adcbbb"/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 xml:space="preserve">Динамика показателей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Сельское хозяйство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0,8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В 2,7 раза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0,3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3" name="_x0000_i10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Промышленность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3,2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6,7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3,0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4" name="_x0000_i10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8929544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ЖКХ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6,5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4,8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6,2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5" name="_x0000_i10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2580364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9,2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В 2 раза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4,5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6" name="_x0000_i104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Торговля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1,9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10,6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7" name="_x0000_i104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17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Туризм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0,3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В 3 раза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0,1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672" w:leader="none"/>
              </w:tabs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8" name="_x0000_i104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23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Транспорт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11,9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В 5 раз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2,4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19" name="_x0000_i10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Связь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5,5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В 1,5 раза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3,7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62" w:leader="none"/>
                <w:tab w:val="left" w:pos="672" w:leader="none"/>
              </w:tabs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20" name="_x0000_i10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98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Финансовая деятельность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-8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,3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10,9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6225" cy="304800"/>
                      <wp:effectExtent l="0" t="0" r="0" b="0"/>
                      <wp:docPr id="21" name="_x0000_i10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5272317" name="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6224" cy="304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1.75pt;height:24.0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6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Социальная инфраструктура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2,8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2,3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42" w:leader="none"/>
              </w:tabs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" cy="295275"/>
                      <wp:effectExtent l="0" t="0" r="0" b="0"/>
                      <wp:docPr id="22" name="_x0000_i10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6001812" name="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" cy="295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.25pt;height:23.25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21"/>
        </w:trPr>
        <w:tc>
          <w:tcPr>
            <w:shd w:val="clear" w:color="000000" w:fill="ffffff"/>
            <w:tcW w:w="32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val="ru-RU" w:eastAsia="ru-RU"/>
              </w:rPr>
              <w:t xml:space="preserve">прочее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-14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,4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22,2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3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6225" cy="304800"/>
                      <wp:effectExtent l="0" t="0" r="0" b="0"/>
                      <wp:docPr id="23" name="_x0000_i10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1.75pt;height:24.0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  <w:highlight w:val="white"/>
              </w:rPr>
            </w:r>
          </w:p>
        </w:tc>
      </w:tr>
    </w:tbl>
    <w:p>
      <w:pPr>
        <w:ind w:firstLine="560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18658" behindDoc="0" locked="0" layoutInCell="1" allowOverlap="1">
                <wp:simplePos x="0" y="0"/>
                <wp:positionH relativeFrom="column">
                  <wp:posOffset>1464015</wp:posOffset>
                </wp:positionH>
                <wp:positionV relativeFrom="paragraph">
                  <wp:posOffset>68870</wp:posOffset>
                </wp:positionV>
                <wp:extent cx="3088617" cy="304800"/>
                <wp:effectExtent l="3175" t="3175" r="3175" b="3175"/>
                <wp:wrapNone/>
                <wp:docPr id="24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88617" cy="304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1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полугодие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года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2" type="#_x0000_t202" style="position:absolute;z-index:251718658;o:allowoverlap:true;o:allowincell:true;mso-position-horizontal-relative:text;margin-left:115.28pt;mso-position-horizontal:absolute;mso-position-vertical-relative:text;margin-top:5.42pt;mso-position-vertical:absolute;width:243.20pt;height:24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1 </w:t>
                      </w:r>
                      <w:r>
                        <w:rPr>
                          <w:sz w:val="26"/>
                          <w:szCs w:val="26"/>
                        </w:rPr>
                        <w:t xml:space="preserve">полугодие</w:t>
                      </w:r>
                      <w:r>
                        <w:rPr>
                          <w:sz w:val="26"/>
                          <w:szCs w:val="26"/>
                        </w:rPr>
                        <w:t xml:space="preserve"> 2024 </w:t>
                      </w:r>
                      <w:r>
                        <w:rPr>
                          <w:sz w:val="26"/>
                          <w:szCs w:val="26"/>
                        </w:rPr>
                        <w:t xml:space="preserve">года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 w:eastAsia="ru-RU"/>
        </w:rPr>
        <w:drawing>
          <wp:inline distT="0" distB="0" distL="0" distR="0">
            <wp:extent cx="4686436" cy="2496535"/>
            <wp:effectExtent l="4762" t="4762" r="4762" b="4762"/>
            <wp:docPr id="2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</w:r>
      <w:r>
        <w:rPr>
          <w:rFonts w:ascii="Times New Roman" w:hAnsi="Times New Roman" w:eastAsia="Times New Roman"/>
          <w:b/>
          <w:sz w:val="32"/>
          <w:szCs w:val="32"/>
          <w:lang w:val="ru-RU" w:eastAsia="ru-RU"/>
        </w:rPr>
      </w:r>
    </w:p>
    <w:p>
      <w:pPr>
        <w:jc w:val="center"/>
        <w:spacing w:after="0" w:line="240" w:lineRule="auto"/>
        <w:rPr>
          <w:lang w:val="ru-RU" w:eastAsia="ru-RU"/>
        </w:rPr>
      </w:pPr>
      <w:r>
        <w:rPr>
          <w:lang w:val="ru-RU"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819010" behindDoc="0" locked="0" layoutInCell="1" allowOverlap="1">
                <wp:simplePos x="0" y="0"/>
                <wp:positionH relativeFrom="column">
                  <wp:posOffset>2133282</wp:posOffset>
                </wp:positionH>
                <wp:positionV relativeFrom="paragraph">
                  <wp:posOffset>100012</wp:posOffset>
                </wp:positionV>
                <wp:extent cx="1702457" cy="295275"/>
                <wp:effectExtent l="3175" t="3175" r="3175" b="3175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702457" cy="29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4"/>
                                <w:szCs w:val="24"/>
                              </w:rPr>
                              <w:t xml:space="preserve">1 полугодие 2023 года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251819010;o:allowoverlap:true;o:allowincell:true;mso-position-horizontal-relative:text;margin-left:167.97pt;mso-position-horizontal:absolute;mso-position-vertical-relative:text;margin-top:7.87pt;mso-position-vertical:absolute;width:134.05pt;height:23.25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>
                        <w:rPr>
                          <w:sz w:val="24"/>
                          <w:szCs w:val="24"/>
                        </w:rPr>
                        <w:t xml:space="preserve">1 полугодие 2023 года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xmlns:wp14="http://schemas.microsoft.com/office/word/2010/wordprocessingDrawing" distT="0" distB="0" distL="115200" distR="115200" simplePos="0" relativeHeight="251813890" behindDoc="0" locked="0" layoutInCell="1" allowOverlap="1">
            <wp:simplePos x="0" y="0"/>
            <wp:positionH relativeFrom="column">
              <wp:posOffset>1597365</wp:posOffset>
            </wp:positionH>
            <wp:positionV relativeFrom="paragraph">
              <wp:posOffset>52387</wp:posOffset>
            </wp:positionV>
            <wp:extent cx="2695575" cy="2209800"/>
            <wp:effectExtent l="4762" t="4762" r="4762" b="4762"/>
            <wp:wrapSquare wrapText="bothSides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jc w:val="center"/>
        <w:spacing w:after="0" w:line="240" w:lineRule="auto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Анализ отраслевой структуры инвестиций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val="ru-RU"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большей части отраслевых направлений в 1 полугодии 2024 года произошел рост объема инвестиций по сравнению с 1 полугодием 2023 года, за исключением отрасли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«Финансовая деятельность»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(снижение на 8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,3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%) 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«прочие»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(снижение на 14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,4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%), куда входит: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«Научные исследования и разработки»,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«Аренда и лизинг»,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«государственное управление, обеспечение военной безопасности и социальное обеспечение».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аибольши</w:t>
      </w:r>
      <w:r>
        <w:rPr>
          <w:rFonts w:ascii="Times New Roman" w:hAnsi="Times New Roman"/>
          <w:sz w:val="28"/>
          <w:szCs w:val="28"/>
          <w:lang w:val="ru-RU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инвестиций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образовании</w:t>
      </w:r>
      <w:r>
        <w:rPr>
          <w:rFonts w:ascii="Times New Roman" w:hAnsi="Times New Roman"/>
          <w:sz w:val="28"/>
          <w:szCs w:val="28"/>
        </w:rPr>
        <w:t xml:space="preserve"> город Краснодар </w:t>
      </w:r>
      <w:r>
        <w:rPr>
          <w:rFonts w:ascii="Times New Roman" w:hAnsi="Times New Roman"/>
          <w:sz w:val="28"/>
          <w:szCs w:val="28"/>
          <w:lang w:val="ru-RU"/>
        </w:rPr>
        <w:t xml:space="preserve">в 1 полугодии 2024 года </w:t>
      </w:r>
      <w:r>
        <w:rPr>
          <w:rFonts w:ascii="Times New Roman" w:hAnsi="Times New Roman"/>
          <w:sz w:val="28"/>
          <w:szCs w:val="28"/>
        </w:rPr>
        <w:t xml:space="preserve">направ</w:t>
      </w:r>
      <w:r>
        <w:rPr>
          <w:rFonts w:ascii="Times New Roman" w:hAnsi="Times New Roman"/>
          <w:sz w:val="28"/>
          <w:szCs w:val="28"/>
          <w:lang w:val="ru-RU"/>
        </w:rPr>
        <w:t xml:space="preserve">лен в отрасль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«Торговля»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рост</w:t>
      </w:r>
      <w:r>
        <w:rPr>
          <w:rFonts w:ascii="Times New Roman" w:hAnsi="Times New Roman"/>
          <w:sz w:val="28"/>
          <w:szCs w:val="28"/>
          <w:lang w:val="ru-RU"/>
        </w:rPr>
        <w:t xml:space="preserve"> составил</w:t>
      </w:r>
      <w:r>
        <w:rPr>
          <w:rFonts w:ascii="Times New Roman" w:hAnsi="Times New Roman"/>
          <w:sz w:val="28"/>
          <w:szCs w:val="28"/>
          <w:lang w:val="ru-RU"/>
        </w:rPr>
        <w:t xml:space="preserve"> в 1,9 раза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доля рынка увеличилась с 16% до 22,4%.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Второе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место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основных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видов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отраслей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занимает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«Транспорт»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Показатель увеличился в 5 раз.</w:t>
      </w:r>
      <w:r>
        <w:rPr>
          <w:rFonts w:ascii="Times New Roman" w:hAnsi="Times New Roman"/>
          <w:sz w:val="28"/>
          <w:szCs w:val="28"/>
          <w:lang w:val="ru-RU"/>
        </w:rPr>
        <w:t xml:space="preserve"> И это рекорд по росту инвестиций.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Доля отрасли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1 полугодии</w:t>
      </w:r>
      <w:r>
        <w:rPr>
          <w:rFonts w:ascii="Times New Roman" w:hAnsi="Times New Roman"/>
          <w:sz w:val="28"/>
          <w:szCs w:val="28"/>
        </w:rPr>
        <w:t xml:space="preserve"> 2024 год</w:t>
      </w:r>
      <w:r>
        <w:rPr>
          <w:rFonts w:ascii="Times New Roman" w:hAnsi="Times New Roman"/>
          <w:sz w:val="28"/>
          <w:szCs w:val="28"/>
          <w:lang w:val="ru-RU"/>
        </w:rPr>
        <w:t xml:space="preserve">а составляет 13,3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%,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против 3,6% в аналогично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м периодом прошлого года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Далее 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«Строительная отрасль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объем инвестиций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увеличился в 2 раза, а доля составляет 10,3% против 6,8%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аналогичном периоде прошлого года.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нвестиции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 о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трасле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«ЖКХ»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ост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ались практич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ески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 на том же уровне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 (темп роста – 4,8%)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однако доля рынка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отрасли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уменьшилась с 9,4% до 7,3%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 отчетном периоде этого года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«Связь»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ост инвестиций в абсолютных показателях произошел в 1,5 раза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доля от</w:t>
      </w:r>
      <w:r>
        <w:rPr>
          <w:rFonts w:ascii="Times New Roman" w:hAnsi="Times New Roman"/>
          <w:sz w:val="28"/>
          <w:szCs w:val="28"/>
          <w:lang w:val="ru-RU"/>
        </w:rPr>
        <w:t xml:space="preserve">расли в общем объеме инвестиций увеличилась по сравнению с 1 полугодием 2023 годом на 0,6% и стала 6,2%. </w:t>
      </w:r>
      <w:r>
        <w:rPr>
          <w:rFonts w:ascii="Times New Roman" w:hAnsi="Times New Roman" w:eastAsia="Times New Roman"/>
          <w:bCs/>
          <w:color w:val="ff0000"/>
          <w:sz w:val="28"/>
          <w:szCs w:val="28"/>
        </w:rPr>
      </w:r>
      <w:r>
        <w:rPr>
          <w:rFonts w:ascii="Times New Roman" w:hAnsi="Times New Roman" w:eastAsia="Times New Roman"/>
          <w:bCs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«Промышленность»,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несмотря на то что в абсолютных показателях рост по отрасли составил 6,7%, в целом доля отрасли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в общем объеме инвестиций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снизилась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 4,5% до 3,6%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1 полугодии 2024 года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 «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Социальная инфраструктура»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также произошло снижение доли в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общем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бъеме инвестиций с 3,5% до 3,1%, несмотря на то, что в целом отрасль демонстрирует рост на 22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Инвестиции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«Туризм»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выросли в 3 раза и доля отрасли в 1 полугодии 2024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года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тоже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выросла и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составила 0,3%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против 0,2% аналогичного периода прошлого года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Хороший рост показала в отчетном периоде отрасль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 «Сельское хозяйство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»</w:t>
      </w:r>
      <w:r>
        <w:rPr>
          <w:rFonts w:ascii="Times New Roman" w:hAnsi="Times New Roman"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- 2,7 раза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, несмотря на то что доля отрасли выросла всего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на 0,4%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и сегодня составляет 0,9%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Дополнительно информируем,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</w:t>
      </w:r>
      <w:r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  <w:lang w:val="ru-RU"/>
        </w:rPr>
        <w:t xml:space="preserve">Вы также можете найти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обновл</w:t>
      </w:r>
      <w:r>
        <w:rPr>
          <w:rFonts w:ascii="Times New Roman" w:hAnsi="Times New Roman"/>
          <w:sz w:val="28"/>
          <w:szCs w:val="28"/>
          <w:lang w:val="ru-RU"/>
        </w:rPr>
        <w:t xml:space="preserve">енный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r>
        <w:rPr>
          <w:rFonts w:ascii="Times New Roman" w:hAnsi="Times New Roman"/>
          <w:sz w:val="28"/>
          <w:szCs w:val="28"/>
        </w:rPr>
        <w:t xml:space="preserve">инвестиционных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реализуемых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планируемых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реализации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сведения</w:t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незадействованных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промышленных</w:t>
      </w:r>
      <w:r>
        <w:rPr>
          <w:rFonts w:ascii="Times New Roman" w:hAnsi="Times New Roman"/>
          <w:sz w:val="28"/>
          <w:szCs w:val="28"/>
        </w:rPr>
        <w:t xml:space="preserve"> площадках и </w:t>
      </w:r>
      <w:r>
        <w:rPr>
          <w:rFonts w:ascii="Times New Roman" w:hAnsi="Times New Roman"/>
          <w:sz w:val="28"/>
          <w:szCs w:val="28"/>
        </w:rPr>
        <w:t xml:space="preserve">неиспользуемых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потенциальным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инвесторам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проектов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85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Arial">
    <w:panose1 w:val="020B0604020202020204"/>
  </w:font>
  <w:font w:name="Liberation Serif">
    <w:panose1 w:val="02020603050405020304"/>
  </w:font>
  <w:font w:name="Kozuka Gothic Pro B">
    <w:panose1 w:val="02000603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ff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91" w:hanging="360"/>
      </w:pPr>
      <w:rPr>
        <w:rFonts w:ascii="Symbol" w:hAnsi="Symbol"/>
        <w:color w:val="595959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/>
        <w:color w:val="595959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Title Char"/>
    <w:basedOn w:val="701"/>
    <w:link w:val="714"/>
    <w:uiPriority w:val="10"/>
    <w:rPr>
      <w:sz w:val="48"/>
      <w:szCs w:val="48"/>
    </w:rPr>
  </w:style>
  <w:style w:type="paragraph" w:styleId="691" w:default="1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paragraph" w:styleId="692">
    <w:name w:val="Heading 1"/>
    <w:basedOn w:val="691"/>
    <w:next w:val="691"/>
    <w:link w:val="892"/>
    <w:uiPriority w:val="9"/>
    <w:qFormat/>
    <w:pPr>
      <w:keepLines/>
      <w:keepNext/>
      <w:spacing w:before="480" w:after="0"/>
      <w:outlineLvl w:val="0"/>
    </w:pPr>
    <w:rPr>
      <w:rFonts w:ascii="Calibri Light" w:hAnsi="Calibri Light" w:eastAsia="Arial"/>
      <w:b/>
      <w:bCs/>
      <w:color w:val="2e74b5"/>
      <w:sz w:val="28"/>
      <w:szCs w:val="28"/>
    </w:rPr>
  </w:style>
  <w:style w:type="paragraph" w:styleId="693">
    <w:name w:val="Heading 2"/>
    <w:basedOn w:val="691"/>
    <w:next w:val="691"/>
    <w:link w:val="74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4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4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4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4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5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5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2 Char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1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rPr>
      <w:sz w:val="22"/>
      <w:szCs w:val="22"/>
      <w:lang w:eastAsia="en-US"/>
    </w:r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55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Subtitle Char"/>
    <w:uiPriority w:val="11"/>
    <w:rPr>
      <w:sz w:val="24"/>
      <w:szCs w:val="24"/>
    </w:rPr>
  </w:style>
  <w:style w:type="paragraph" w:styleId="718">
    <w:name w:val="Quote"/>
    <w:basedOn w:val="691"/>
    <w:next w:val="691"/>
    <w:link w:val="756"/>
    <w:uiPriority w:val="29"/>
    <w:qFormat/>
    <w:pPr>
      <w:ind w:left="720" w:right="720"/>
    </w:pPr>
    <w:rPr>
      <w:i/>
    </w:rPr>
  </w:style>
  <w:style w:type="character" w:styleId="719" w:customStyle="1">
    <w:name w:val="Quote Char"/>
    <w:uiPriority w:val="29"/>
    <w:rPr>
      <w:i/>
    </w:rPr>
  </w:style>
  <w:style w:type="paragraph" w:styleId="720">
    <w:name w:val="Intense Quote"/>
    <w:basedOn w:val="691"/>
    <w:next w:val="691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Intense Quote Char"/>
    <w:uiPriority w:val="30"/>
    <w:rPr>
      <w:i/>
    </w:rPr>
  </w:style>
  <w:style w:type="paragraph" w:styleId="722">
    <w:name w:val="Header"/>
    <w:basedOn w:val="691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3">
    <w:name w:val="Footer"/>
    <w:basedOn w:val="691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4">
    <w:name w:val="Caption"/>
    <w:basedOn w:val="691"/>
    <w:next w:val="691"/>
    <w:uiPriority w:val="35"/>
    <w:semiHidden/>
    <w:unhideWhenUsed/>
    <w:qFormat/>
    <w:rPr>
      <w:b/>
      <w:bCs/>
      <w:color w:val="5b9bd5"/>
      <w:sz w:val="18"/>
      <w:szCs w:val="18"/>
    </w:rPr>
  </w:style>
  <w:style w:type="table" w:styleId="725">
    <w:name w:val="Table Grid"/>
    <w:basedOn w:val="702"/>
    <w:uiPriority w:val="59"/>
    <w:tblPr/>
  </w:style>
  <w:style w:type="character" w:styleId="726">
    <w:name w:val="Hyperlink"/>
    <w:uiPriority w:val="99"/>
    <w:unhideWhenUsed/>
    <w:rPr>
      <w:color w:val="0563c1"/>
      <w:u w:val="single"/>
    </w:rPr>
  </w:style>
  <w:style w:type="paragraph" w:styleId="727">
    <w:name w:val="footnote text"/>
    <w:basedOn w:val="691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728" w:customStyle="1">
    <w:name w:val="Footnote Text Char"/>
    <w:uiPriority w:val="99"/>
    <w:rPr>
      <w:sz w:val="18"/>
    </w:rPr>
  </w:style>
  <w:style w:type="character" w:styleId="729">
    <w:name w:val="footnote reference"/>
    <w:uiPriority w:val="99"/>
    <w:unhideWhenUsed/>
    <w:rPr>
      <w:vertAlign w:val="superscript"/>
    </w:rPr>
  </w:style>
  <w:style w:type="paragraph" w:styleId="730">
    <w:name w:val="endnote text"/>
    <w:basedOn w:val="691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731" w:customStyle="1">
    <w:name w:val="Endnote Text Char"/>
    <w:uiPriority w:val="99"/>
    <w:rPr>
      <w:sz w:val="20"/>
    </w:rPr>
  </w:style>
  <w:style w:type="character" w:styleId="732">
    <w:name w:val="endnote reference"/>
    <w:uiPriority w:val="99"/>
    <w:semiHidden/>
    <w:unhideWhenUsed/>
    <w:rPr>
      <w:vertAlign w:val="superscript"/>
    </w:rPr>
  </w:style>
  <w:style w:type="paragraph" w:styleId="733">
    <w:name w:val="toc 1"/>
    <w:basedOn w:val="691"/>
    <w:next w:val="691"/>
    <w:uiPriority w:val="39"/>
    <w:unhideWhenUsed/>
    <w:pPr>
      <w:spacing w:after="57"/>
    </w:pPr>
  </w:style>
  <w:style w:type="paragraph" w:styleId="734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735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736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737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738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739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740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741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742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743">
    <w:name w:val="table of figures"/>
    <w:basedOn w:val="691"/>
    <w:next w:val="691"/>
    <w:uiPriority w:val="99"/>
    <w:unhideWhenUsed/>
    <w:pPr>
      <w:spacing w:after="0"/>
    </w:pPr>
  </w:style>
  <w:style w:type="character" w:styleId="74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 w:customStyle="1">
    <w:name w:val="Название"/>
    <w:basedOn w:val="691"/>
    <w:next w:val="691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character" w:styleId="755" w:customStyle="1">
    <w:name w:val="Подзаголовок Знак"/>
    <w:link w:val="716"/>
    <w:uiPriority w:val="11"/>
    <w:rPr>
      <w:sz w:val="24"/>
      <w:szCs w:val="24"/>
    </w:rPr>
  </w:style>
  <w:style w:type="character" w:styleId="756" w:customStyle="1">
    <w:name w:val="Цитата 2 Знак"/>
    <w:link w:val="718"/>
    <w:uiPriority w:val="29"/>
    <w:rPr>
      <w:i/>
    </w:rPr>
  </w:style>
  <w:style w:type="character" w:styleId="757" w:customStyle="1">
    <w:name w:val="Выделенная цитата Знак"/>
    <w:link w:val="720"/>
    <w:uiPriority w:val="30"/>
    <w:rPr>
      <w:i/>
    </w:rPr>
  </w:style>
  <w:style w:type="character" w:styleId="758" w:customStyle="1">
    <w:name w:val="Header Char"/>
    <w:basedOn w:val="701"/>
    <w:uiPriority w:val="99"/>
  </w:style>
  <w:style w:type="character" w:styleId="759" w:customStyle="1">
    <w:name w:val="Footer Char"/>
    <w:basedOn w:val="701"/>
    <w:uiPriority w:val="99"/>
  </w:style>
  <w:style w:type="character" w:styleId="760" w:customStyle="1">
    <w:name w:val="Caption Char"/>
    <w:uiPriority w:val="99"/>
  </w:style>
  <w:style w:type="table" w:styleId="761" w:customStyle="1">
    <w:name w:val="Table Grid Light"/>
    <w:basedOn w:val="702"/>
    <w:uiPriority w:val="59"/>
    <w:tblPr/>
  </w:style>
  <w:style w:type="table" w:styleId="762">
    <w:name w:val="Plain Table 1"/>
    <w:basedOn w:val="702"/>
    <w:uiPriority w:val="59"/>
    <w:tblPr/>
  </w:style>
  <w:style w:type="table" w:styleId="763">
    <w:name w:val="Plain Table 2"/>
    <w:basedOn w:val="702"/>
    <w:uiPriority w:val="59"/>
    <w:tblPr/>
  </w:style>
  <w:style w:type="table" w:styleId="764">
    <w:name w:val="Plain Table 3"/>
    <w:basedOn w:val="702"/>
    <w:uiPriority w:val="99"/>
    <w:tblPr/>
  </w:style>
  <w:style w:type="table" w:styleId="765">
    <w:name w:val="Plain Table 4"/>
    <w:basedOn w:val="702"/>
    <w:uiPriority w:val="99"/>
    <w:tblPr/>
  </w:style>
  <w:style w:type="table" w:styleId="766">
    <w:name w:val="Plain Table 5"/>
    <w:basedOn w:val="702"/>
    <w:uiPriority w:val="99"/>
    <w:tblPr/>
  </w:style>
  <w:style w:type="table" w:styleId="767">
    <w:name w:val="Grid Table 1 Light"/>
    <w:basedOn w:val="702"/>
    <w:uiPriority w:val="99"/>
    <w:tblPr/>
  </w:style>
  <w:style w:type="table" w:styleId="768" w:customStyle="1">
    <w:name w:val="Grid Table 1 Light - Accent 1"/>
    <w:basedOn w:val="702"/>
    <w:uiPriority w:val="99"/>
    <w:tblPr/>
  </w:style>
  <w:style w:type="table" w:styleId="769" w:customStyle="1">
    <w:name w:val="Grid Table 1 Light - Accent 2"/>
    <w:basedOn w:val="702"/>
    <w:uiPriority w:val="99"/>
    <w:tblPr/>
  </w:style>
  <w:style w:type="table" w:styleId="770" w:customStyle="1">
    <w:name w:val="Grid Table 1 Light - Accent 3"/>
    <w:basedOn w:val="702"/>
    <w:uiPriority w:val="99"/>
    <w:tblPr/>
  </w:style>
  <w:style w:type="table" w:styleId="771" w:customStyle="1">
    <w:name w:val="Grid Table 1 Light - Accent 4"/>
    <w:basedOn w:val="702"/>
    <w:uiPriority w:val="99"/>
    <w:tblPr/>
  </w:style>
  <w:style w:type="table" w:styleId="772" w:customStyle="1">
    <w:name w:val="Grid Table 1 Light - Accent 5"/>
    <w:basedOn w:val="702"/>
    <w:uiPriority w:val="99"/>
    <w:tblPr/>
  </w:style>
  <w:style w:type="table" w:styleId="773" w:customStyle="1">
    <w:name w:val="Grid Table 1 Light - Accent 6"/>
    <w:basedOn w:val="702"/>
    <w:uiPriority w:val="99"/>
    <w:tblPr/>
  </w:style>
  <w:style w:type="table" w:styleId="774">
    <w:name w:val="Grid Table 2"/>
    <w:basedOn w:val="702"/>
    <w:uiPriority w:val="99"/>
    <w:tblPr/>
  </w:style>
  <w:style w:type="table" w:styleId="775" w:customStyle="1">
    <w:name w:val="Grid Table 2 - Accent 1"/>
    <w:basedOn w:val="702"/>
    <w:uiPriority w:val="99"/>
    <w:tblPr/>
  </w:style>
  <w:style w:type="table" w:styleId="776" w:customStyle="1">
    <w:name w:val="Grid Table 2 - Accent 2"/>
    <w:basedOn w:val="702"/>
    <w:uiPriority w:val="99"/>
    <w:tblPr/>
  </w:style>
  <w:style w:type="table" w:styleId="777" w:customStyle="1">
    <w:name w:val="Grid Table 2 - Accent 3"/>
    <w:basedOn w:val="702"/>
    <w:uiPriority w:val="99"/>
    <w:tblPr/>
  </w:style>
  <w:style w:type="table" w:styleId="778" w:customStyle="1">
    <w:name w:val="Grid Table 2 - Accent 4"/>
    <w:basedOn w:val="702"/>
    <w:uiPriority w:val="99"/>
    <w:tblPr/>
  </w:style>
  <w:style w:type="table" w:styleId="779" w:customStyle="1">
    <w:name w:val="Grid Table 2 - Accent 5"/>
    <w:basedOn w:val="702"/>
    <w:uiPriority w:val="99"/>
    <w:tblPr/>
  </w:style>
  <w:style w:type="table" w:styleId="780" w:customStyle="1">
    <w:name w:val="Grid Table 2 - Accent 6"/>
    <w:basedOn w:val="702"/>
    <w:uiPriority w:val="99"/>
    <w:tblPr/>
  </w:style>
  <w:style w:type="table" w:styleId="781">
    <w:name w:val="Grid Table 3"/>
    <w:basedOn w:val="702"/>
    <w:uiPriority w:val="99"/>
    <w:tblPr/>
  </w:style>
  <w:style w:type="table" w:styleId="782" w:customStyle="1">
    <w:name w:val="Grid Table 3 - Accent 1"/>
    <w:basedOn w:val="702"/>
    <w:uiPriority w:val="99"/>
    <w:tblPr/>
  </w:style>
  <w:style w:type="table" w:styleId="783" w:customStyle="1">
    <w:name w:val="Grid Table 3 - Accent 2"/>
    <w:basedOn w:val="702"/>
    <w:uiPriority w:val="99"/>
    <w:tblPr/>
  </w:style>
  <w:style w:type="table" w:styleId="784" w:customStyle="1">
    <w:name w:val="Grid Table 3 - Accent 3"/>
    <w:basedOn w:val="702"/>
    <w:uiPriority w:val="99"/>
    <w:tblPr/>
  </w:style>
  <w:style w:type="table" w:styleId="785" w:customStyle="1">
    <w:name w:val="Grid Table 3 - Accent 4"/>
    <w:basedOn w:val="702"/>
    <w:uiPriority w:val="99"/>
    <w:tblPr/>
  </w:style>
  <w:style w:type="table" w:styleId="786" w:customStyle="1">
    <w:name w:val="Grid Table 3 - Accent 5"/>
    <w:basedOn w:val="702"/>
    <w:uiPriority w:val="99"/>
    <w:tblPr/>
  </w:style>
  <w:style w:type="table" w:styleId="787" w:customStyle="1">
    <w:name w:val="Grid Table 3 - Accent 6"/>
    <w:basedOn w:val="702"/>
    <w:uiPriority w:val="99"/>
    <w:tblPr/>
  </w:style>
  <w:style w:type="table" w:styleId="788">
    <w:name w:val="Grid Table 4"/>
    <w:basedOn w:val="702"/>
    <w:uiPriority w:val="59"/>
    <w:tblPr/>
  </w:style>
  <w:style w:type="table" w:styleId="789" w:customStyle="1">
    <w:name w:val="Grid Table 4 - Accent 1"/>
    <w:basedOn w:val="702"/>
    <w:uiPriority w:val="59"/>
    <w:tblPr/>
  </w:style>
  <w:style w:type="table" w:styleId="790" w:customStyle="1">
    <w:name w:val="Grid Table 4 - Accent 2"/>
    <w:basedOn w:val="702"/>
    <w:uiPriority w:val="59"/>
    <w:tblPr/>
  </w:style>
  <w:style w:type="table" w:styleId="791" w:customStyle="1">
    <w:name w:val="Grid Table 4 - Accent 3"/>
    <w:basedOn w:val="702"/>
    <w:uiPriority w:val="59"/>
    <w:tblPr/>
  </w:style>
  <w:style w:type="table" w:styleId="792" w:customStyle="1">
    <w:name w:val="Grid Table 4 - Accent 4"/>
    <w:basedOn w:val="702"/>
    <w:uiPriority w:val="59"/>
    <w:tblPr/>
  </w:style>
  <w:style w:type="table" w:styleId="793" w:customStyle="1">
    <w:name w:val="Grid Table 4 - Accent 5"/>
    <w:basedOn w:val="702"/>
    <w:uiPriority w:val="59"/>
    <w:tblPr/>
  </w:style>
  <w:style w:type="table" w:styleId="794" w:customStyle="1">
    <w:name w:val="Grid Table 4 - Accent 6"/>
    <w:basedOn w:val="702"/>
    <w:uiPriority w:val="59"/>
    <w:tblPr/>
  </w:style>
  <w:style w:type="table" w:styleId="795">
    <w:name w:val="Grid Table 5 Dark"/>
    <w:basedOn w:val="702"/>
    <w:uiPriority w:val="99"/>
    <w:tblPr/>
  </w:style>
  <w:style w:type="table" w:styleId="796" w:customStyle="1">
    <w:name w:val="Grid Table 5 Dark- Accent 1"/>
    <w:basedOn w:val="702"/>
    <w:uiPriority w:val="99"/>
    <w:tblPr/>
  </w:style>
  <w:style w:type="table" w:styleId="797" w:customStyle="1">
    <w:name w:val="Grid Table 5 Dark - Accent 2"/>
    <w:basedOn w:val="702"/>
    <w:uiPriority w:val="99"/>
    <w:tblPr/>
  </w:style>
  <w:style w:type="table" w:styleId="798" w:customStyle="1">
    <w:name w:val="Grid Table 5 Dark - Accent 3"/>
    <w:basedOn w:val="702"/>
    <w:uiPriority w:val="99"/>
    <w:tblPr/>
  </w:style>
  <w:style w:type="table" w:styleId="799" w:customStyle="1">
    <w:name w:val="Grid Table 5 Dark- Accent 4"/>
    <w:basedOn w:val="702"/>
    <w:uiPriority w:val="99"/>
    <w:tblPr/>
  </w:style>
  <w:style w:type="table" w:styleId="800" w:customStyle="1">
    <w:name w:val="Grid Table 5 Dark - Accent 5"/>
    <w:basedOn w:val="702"/>
    <w:uiPriority w:val="99"/>
    <w:tblPr/>
  </w:style>
  <w:style w:type="table" w:styleId="801" w:customStyle="1">
    <w:name w:val="Grid Table 5 Dark - Accent 6"/>
    <w:basedOn w:val="702"/>
    <w:uiPriority w:val="99"/>
    <w:tblPr/>
  </w:style>
  <w:style w:type="table" w:styleId="802">
    <w:name w:val="Grid Table 6 Colorful"/>
    <w:basedOn w:val="702"/>
    <w:uiPriority w:val="99"/>
    <w:tblPr/>
  </w:style>
  <w:style w:type="table" w:styleId="803" w:customStyle="1">
    <w:name w:val="Grid Table 6 Colorful - Accent 1"/>
    <w:basedOn w:val="702"/>
    <w:uiPriority w:val="99"/>
    <w:tblPr/>
  </w:style>
  <w:style w:type="table" w:styleId="804" w:customStyle="1">
    <w:name w:val="Grid Table 6 Colorful - Accent 2"/>
    <w:basedOn w:val="702"/>
    <w:uiPriority w:val="99"/>
    <w:tblPr/>
  </w:style>
  <w:style w:type="table" w:styleId="805" w:customStyle="1">
    <w:name w:val="Grid Table 6 Colorful - Accent 3"/>
    <w:basedOn w:val="702"/>
    <w:uiPriority w:val="99"/>
    <w:tblPr/>
  </w:style>
  <w:style w:type="table" w:styleId="806" w:customStyle="1">
    <w:name w:val="Grid Table 6 Colorful - Accent 4"/>
    <w:basedOn w:val="702"/>
    <w:uiPriority w:val="99"/>
    <w:tblPr/>
  </w:style>
  <w:style w:type="table" w:styleId="807" w:customStyle="1">
    <w:name w:val="Grid Table 6 Colorful - Accent 5"/>
    <w:basedOn w:val="702"/>
    <w:uiPriority w:val="99"/>
    <w:tblPr/>
  </w:style>
  <w:style w:type="table" w:styleId="808" w:customStyle="1">
    <w:name w:val="Grid Table 6 Colorful - Accent 6"/>
    <w:basedOn w:val="702"/>
    <w:uiPriority w:val="99"/>
    <w:tblPr/>
  </w:style>
  <w:style w:type="table" w:styleId="809">
    <w:name w:val="Grid Table 7 Colorful"/>
    <w:basedOn w:val="702"/>
    <w:uiPriority w:val="99"/>
    <w:tblPr/>
  </w:style>
  <w:style w:type="table" w:styleId="810" w:customStyle="1">
    <w:name w:val="Grid Table 7 Colorful - Accent 1"/>
    <w:basedOn w:val="702"/>
    <w:uiPriority w:val="99"/>
    <w:tblPr/>
  </w:style>
  <w:style w:type="table" w:styleId="811" w:customStyle="1">
    <w:name w:val="Grid Table 7 Colorful - Accent 2"/>
    <w:basedOn w:val="702"/>
    <w:uiPriority w:val="99"/>
    <w:tblPr/>
  </w:style>
  <w:style w:type="table" w:styleId="812" w:customStyle="1">
    <w:name w:val="Grid Table 7 Colorful - Accent 3"/>
    <w:basedOn w:val="702"/>
    <w:uiPriority w:val="99"/>
    <w:tblPr/>
  </w:style>
  <w:style w:type="table" w:styleId="813" w:customStyle="1">
    <w:name w:val="Grid Table 7 Colorful - Accent 4"/>
    <w:basedOn w:val="702"/>
    <w:uiPriority w:val="99"/>
    <w:tblPr/>
  </w:style>
  <w:style w:type="table" w:styleId="814" w:customStyle="1">
    <w:name w:val="Grid Table 7 Colorful - Accent 5"/>
    <w:basedOn w:val="702"/>
    <w:uiPriority w:val="99"/>
    <w:tblPr/>
  </w:style>
  <w:style w:type="table" w:styleId="815" w:customStyle="1">
    <w:name w:val="Grid Table 7 Colorful - Accent 6"/>
    <w:basedOn w:val="702"/>
    <w:uiPriority w:val="99"/>
    <w:tblPr/>
  </w:style>
  <w:style w:type="table" w:styleId="816">
    <w:name w:val="List Table 1 Light"/>
    <w:basedOn w:val="702"/>
    <w:uiPriority w:val="99"/>
    <w:tblPr/>
  </w:style>
  <w:style w:type="table" w:styleId="817" w:customStyle="1">
    <w:name w:val="List Table 1 Light - Accent 1"/>
    <w:basedOn w:val="702"/>
    <w:uiPriority w:val="99"/>
    <w:tblPr/>
  </w:style>
  <w:style w:type="table" w:styleId="818" w:customStyle="1">
    <w:name w:val="List Table 1 Light - Accent 2"/>
    <w:basedOn w:val="702"/>
    <w:uiPriority w:val="99"/>
    <w:tblPr/>
  </w:style>
  <w:style w:type="table" w:styleId="819" w:customStyle="1">
    <w:name w:val="List Table 1 Light - Accent 3"/>
    <w:basedOn w:val="702"/>
    <w:uiPriority w:val="99"/>
    <w:tblPr/>
  </w:style>
  <w:style w:type="table" w:styleId="820" w:customStyle="1">
    <w:name w:val="List Table 1 Light - Accent 4"/>
    <w:basedOn w:val="702"/>
    <w:uiPriority w:val="99"/>
    <w:tblPr/>
  </w:style>
  <w:style w:type="table" w:styleId="821" w:customStyle="1">
    <w:name w:val="List Table 1 Light - Accent 5"/>
    <w:basedOn w:val="702"/>
    <w:uiPriority w:val="99"/>
    <w:tblPr/>
  </w:style>
  <w:style w:type="table" w:styleId="822" w:customStyle="1">
    <w:name w:val="List Table 1 Light - Accent 6"/>
    <w:basedOn w:val="702"/>
    <w:uiPriority w:val="99"/>
    <w:tblPr/>
  </w:style>
  <w:style w:type="table" w:styleId="823">
    <w:name w:val="List Table 2"/>
    <w:basedOn w:val="702"/>
    <w:uiPriority w:val="99"/>
    <w:tblPr/>
  </w:style>
  <w:style w:type="table" w:styleId="824" w:customStyle="1">
    <w:name w:val="List Table 2 - Accent 1"/>
    <w:basedOn w:val="702"/>
    <w:uiPriority w:val="99"/>
    <w:tblPr/>
  </w:style>
  <w:style w:type="table" w:styleId="825" w:customStyle="1">
    <w:name w:val="List Table 2 - Accent 2"/>
    <w:basedOn w:val="702"/>
    <w:uiPriority w:val="99"/>
    <w:tblPr/>
  </w:style>
  <w:style w:type="table" w:styleId="826" w:customStyle="1">
    <w:name w:val="List Table 2 - Accent 3"/>
    <w:basedOn w:val="702"/>
    <w:uiPriority w:val="99"/>
    <w:tblPr/>
  </w:style>
  <w:style w:type="table" w:styleId="827" w:customStyle="1">
    <w:name w:val="List Table 2 - Accent 4"/>
    <w:basedOn w:val="702"/>
    <w:uiPriority w:val="99"/>
    <w:tblPr/>
  </w:style>
  <w:style w:type="table" w:styleId="828" w:customStyle="1">
    <w:name w:val="List Table 2 - Accent 5"/>
    <w:basedOn w:val="702"/>
    <w:uiPriority w:val="99"/>
    <w:tblPr/>
  </w:style>
  <w:style w:type="table" w:styleId="829" w:customStyle="1">
    <w:name w:val="List Table 2 - Accent 6"/>
    <w:basedOn w:val="702"/>
    <w:uiPriority w:val="99"/>
    <w:tblPr/>
  </w:style>
  <w:style w:type="table" w:styleId="830">
    <w:name w:val="List Table 3"/>
    <w:basedOn w:val="702"/>
    <w:uiPriority w:val="99"/>
    <w:tblPr/>
  </w:style>
  <w:style w:type="table" w:styleId="831" w:customStyle="1">
    <w:name w:val="List Table 3 - Accent 1"/>
    <w:basedOn w:val="702"/>
    <w:uiPriority w:val="99"/>
    <w:tblPr/>
  </w:style>
  <w:style w:type="table" w:styleId="832" w:customStyle="1">
    <w:name w:val="List Table 3 - Accent 2"/>
    <w:basedOn w:val="702"/>
    <w:uiPriority w:val="99"/>
    <w:tblPr/>
  </w:style>
  <w:style w:type="table" w:styleId="833" w:customStyle="1">
    <w:name w:val="List Table 3 - Accent 3"/>
    <w:basedOn w:val="702"/>
    <w:uiPriority w:val="99"/>
    <w:tblPr/>
  </w:style>
  <w:style w:type="table" w:styleId="834" w:customStyle="1">
    <w:name w:val="List Table 3 - Accent 4"/>
    <w:basedOn w:val="702"/>
    <w:uiPriority w:val="99"/>
    <w:tblPr/>
  </w:style>
  <w:style w:type="table" w:styleId="835" w:customStyle="1">
    <w:name w:val="List Table 3 - Accent 5"/>
    <w:basedOn w:val="702"/>
    <w:uiPriority w:val="99"/>
    <w:tblPr/>
  </w:style>
  <w:style w:type="table" w:styleId="836" w:customStyle="1">
    <w:name w:val="List Table 3 - Accent 6"/>
    <w:basedOn w:val="702"/>
    <w:uiPriority w:val="99"/>
    <w:tblPr/>
  </w:style>
  <w:style w:type="table" w:styleId="837">
    <w:name w:val="List Table 4"/>
    <w:basedOn w:val="702"/>
    <w:uiPriority w:val="99"/>
    <w:tblPr/>
  </w:style>
  <w:style w:type="table" w:styleId="838" w:customStyle="1">
    <w:name w:val="List Table 4 - Accent 1"/>
    <w:basedOn w:val="702"/>
    <w:uiPriority w:val="99"/>
    <w:tblPr/>
  </w:style>
  <w:style w:type="table" w:styleId="839" w:customStyle="1">
    <w:name w:val="List Table 4 - Accent 2"/>
    <w:basedOn w:val="702"/>
    <w:uiPriority w:val="99"/>
    <w:tblPr/>
  </w:style>
  <w:style w:type="table" w:styleId="840" w:customStyle="1">
    <w:name w:val="List Table 4 - Accent 3"/>
    <w:basedOn w:val="702"/>
    <w:uiPriority w:val="99"/>
    <w:tblPr/>
  </w:style>
  <w:style w:type="table" w:styleId="841" w:customStyle="1">
    <w:name w:val="List Table 4 - Accent 4"/>
    <w:basedOn w:val="702"/>
    <w:uiPriority w:val="99"/>
    <w:tblPr/>
  </w:style>
  <w:style w:type="table" w:styleId="842" w:customStyle="1">
    <w:name w:val="List Table 4 - Accent 5"/>
    <w:basedOn w:val="702"/>
    <w:uiPriority w:val="99"/>
    <w:tblPr/>
  </w:style>
  <w:style w:type="table" w:styleId="843" w:customStyle="1">
    <w:name w:val="List Table 4 - Accent 6"/>
    <w:basedOn w:val="702"/>
    <w:uiPriority w:val="99"/>
    <w:tblPr/>
  </w:style>
  <w:style w:type="table" w:styleId="844">
    <w:name w:val="List Table 5 Dark"/>
    <w:basedOn w:val="702"/>
    <w:uiPriority w:val="99"/>
    <w:tblPr/>
  </w:style>
  <w:style w:type="table" w:styleId="845" w:customStyle="1">
    <w:name w:val="List Table 5 Dark - Accent 1"/>
    <w:basedOn w:val="702"/>
    <w:uiPriority w:val="99"/>
    <w:tblPr/>
  </w:style>
  <w:style w:type="table" w:styleId="846" w:customStyle="1">
    <w:name w:val="List Table 5 Dark - Accent 2"/>
    <w:basedOn w:val="702"/>
    <w:uiPriority w:val="99"/>
    <w:tblPr/>
  </w:style>
  <w:style w:type="table" w:styleId="847" w:customStyle="1">
    <w:name w:val="List Table 5 Dark - Accent 3"/>
    <w:basedOn w:val="702"/>
    <w:uiPriority w:val="99"/>
    <w:tblPr/>
  </w:style>
  <w:style w:type="table" w:styleId="848" w:customStyle="1">
    <w:name w:val="List Table 5 Dark - Accent 4"/>
    <w:basedOn w:val="702"/>
    <w:uiPriority w:val="99"/>
    <w:tblPr/>
  </w:style>
  <w:style w:type="table" w:styleId="849" w:customStyle="1">
    <w:name w:val="List Table 5 Dark - Accent 5"/>
    <w:basedOn w:val="702"/>
    <w:uiPriority w:val="99"/>
    <w:tblPr/>
  </w:style>
  <w:style w:type="table" w:styleId="850" w:customStyle="1">
    <w:name w:val="List Table 5 Dark - Accent 6"/>
    <w:basedOn w:val="702"/>
    <w:uiPriority w:val="99"/>
    <w:tblPr/>
  </w:style>
  <w:style w:type="table" w:styleId="851">
    <w:name w:val="List Table 6 Colorful"/>
    <w:basedOn w:val="702"/>
    <w:uiPriority w:val="99"/>
    <w:tblPr/>
  </w:style>
  <w:style w:type="table" w:styleId="852" w:customStyle="1">
    <w:name w:val="List Table 6 Colorful - Accent 1"/>
    <w:basedOn w:val="702"/>
    <w:uiPriority w:val="99"/>
    <w:tblPr/>
  </w:style>
  <w:style w:type="table" w:styleId="853" w:customStyle="1">
    <w:name w:val="List Table 6 Colorful - Accent 2"/>
    <w:basedOn w:val="702"/>
    <w:uiPriority w:val="99"/>
    <w:tblPr/>
  </w:style>
  <w:style w:type="table" w:styleId="854" w:customStyle="1">
    <w:name w:val="List Table 6 Colorful - Accent 3"/>
    <w:basedOn w:val="702"/>
    <w:uiPriority w:val="99"/>
    <w:tblPr/>
  </w:style>
  <w:style w:type="table" w:styleId="855" w:customStyle="1">
    <w:name w:val="List Table 6 Colorful - Accent 4"/>
    <w:basedOn w:val="702"/>
    <w:uiPriority w:val="99"/>
    <w:tblPr/>
  </w:style>
  <w:style w:type="table" w:styleId="856" w:customStyle="1">
    <w:name w:val="List Table 6 Colorful - Accent 5"/>
    <w:basedOn w:val="702"/>
    <w:uiPriority w:val="99"/>
    <w:tblPr/>
  </w:style>
  <w:style w:type="table" w:styleId="857" w:customStyle="1">
    <w:name w:val="List Table 6 Colorful - Accent 6"/>
    <w:basedOn w:val="702"/>
    <w:uiPriority w:val="99"/>
    <w:tblPr/>
  </w:style>
  <w:style w:type="table" w:styleId="858">
    <w:name w:val="List Table 7 Colorful"/>
    <w:basedOn w:val="702"/>
    <w:uiPriority w:val="99"/>
    <w:tblPr/>
  </w:style>
  <w:style w:type="table" w:styleId="859" w:customStyle="1">
    <w:name w:val="List Table 7 Colorful - Accent 1"/>
    <w:basedOn w:val="702"/>
    <w:uiPriority w:val="99"/>
    <w:tblPr/>
  </w:style>
  <w:style w:type="table" w:styleId="860" w:customStyle="1">
    <w:name w:val="List Table 7 Colorful - Accent 2"/>
    <w:basedOn w:val="702"/>
    <w:uiPriority w:val="99"/>
    <w:tblPr/>
  </w:style>
  <w:style w:type="table" w:styleId="861" w:customStyle="1">
    <w:name w:val="List Table 7 Colorful - Accent 3"/>
    <w:basedOn w:val="702"/>
    <w:uiPriority w:val="99"/>
    <w:tblPr/>
  </w:style>
  <w:style w:type="table" w:styleId="862" w:customStyle="1">
    <w:name w:val="List Table 7 Colorful - Accent 4"/>
    <w:basedOn w:val="702"/>
    <w:uiPriority w:val="99"/>
    <w:tblPr/>
  </w:style>
  <w:style w:type="table" w:styleId="863" w:customStyle="1">
    <w:name w:val="List Table 7 Colorful - Accent 5"/>
    <w:basedOn w:val="702"/>
    <w:uiPriority w:val="99"/>
    <w:tblPr/>
  </w:style>
  <w:style w:type="table" w:styleId="864" w:customStyle="1">
    <w:name w:val="List Table 7 Colorful - Accent 6"/>
    <w:basedOn w:val="702"/>
    <w:uiPriority w:val="99"/>
    <w:tblPr/>
  </w:style>
  <w:style w:type="table" w:styleId="865" w:customStyle="1">
    <w:name w:val="Lined - Accent"/>
    <w:basedOn w:val="702"/>
    <w:uiPriority w:val="99"/>
    <w:rPr>
      <w:color w:val="404040"/>
      <w:lang w:eastAsia="ru-RU"/>
    </w:rPr>
    <w:tblPr/>
  </w:style>
  <w:style w:type="table" w:styleId="866" w:customStyle="1">
    <w:name w:val="Lined - Accent 1"/>
    <w:basedOn w:val="702"/>
    <w:uiPriority w:val="99"/>
    <w:rPr>
      <w:color w:val="404040"/>
      <w:lang w:eastAsia="ru-RU"/>
    </w:rPr>
    <w:tblPr/>
  </w:style>
  <w:style w:type="table" w:styleId="867" w:customStyle="1">
    <w:name w:val="Lined - Accent 2"/>
    <w:basedOn w:val="702"/>
    <w:uiPriority w:val="99"/>
    <w:rPr>
      <w:color w:val="404040"/>
      <w:lang w:eastAsia="ru-RU"/>
    </w:rPr>
    <w:tblPr/>
  </w:style>
  <w:style w:type="table" w:styleId="868" w:customStyle="1">
    <w:name w:val="Lined - Accent 3"/>
    <w:basedOn w:val="702"/>
    <w:uiPriority w:val="99"/>
    <w:rPr>
      <w:color w:val="404040"/>
      <w:lang w:eastAsia="ru-RU"/>
    </w:rPr>
    <w:tblPr/>
  </w:style>
  <w:style w:type="table" w:styleId="869" w:customStyle="1">
    <w:name w:val="Lined - Accent 4"/>
    <w:basedOn w:val="702"/>
    <w:uiPriority w:val="99"/>
    <w:rPr>
      <w:color w:val="404040"/>
      <w:lang w:eastAsia="ru-RU"/>
    </w:rPr>
    <w:tblPr/>
  </w:style>
  <w:style w:type="table" w:styleId="870" w:customStyle="1">
    <w:name w:val="Lined - Accent 5"/>
    <w:basedOn w:val="702"/>
    <w:uiPriority w:val="99"/>
    <w:rPr>
      <w:color w:val="404040"/>
      <w:lang w:eastAsia="ru-RU"/>
    </w:rPr>
    <w:tblPr/>
  </w:style>
  <w:style w:type="table" w:styleId="871" w:customStyle="1">
    <w:name w:val="Lined - Accent 6"/>
    <w:basedOn w:val="702"/>
    <w:uiPriority w:val="99"/>
    <w:rPr>
      <w:color w:val="404040"/>
      <w:lang w:eastAsia="ru-RU"/>
    </w:rPr>
    <w:tblPr/>
  </w:style>
  <w:style w:type="table" w:styleId="872" w:customStyle="1">
    <w:name w:val="Bordered &amp; Lined - Accent"/>
    <w:basedOn w:val="702"/>
    <w:uiPriority w:val="99"/>
    <w:rPr>
      <w:color w:val="404040"/>
      <w:lang w:eastAsia="ru-RU"/>
    </w:rPr>
    <w:tblPr/>
  </w:style>
  <w:style w:type="table" w:styleId="873" w:customStyle="1">
    <w:name w:val="Bordered &amp; Lined - Accent 1"/>
    <w:basedOn w:val="702"/>
    <w:uiPriority w:val="99"/>
    <w:rPr>
      <w:color w:val="404040"/>
      <w:lang w:eastAsia="ru-RU"/>
    </w:rPr>
    <w:tblPr/>
  </w:style>
  <w:style w:type="table" w:styleId="874" w:customStyle="1">
    <w:name w:val="Bordered &amp; Lined - Accent 2"/>
    <w:basedOn w:val="702"/>
    <w:uiPriority w:val="99"/>
    <w:rPr>
      <w:color w:val="404040"/>
      <w:lang w:eastAsia="ru-RU"/>
    </w:rPr>
    <w:tblPr/>
  </w:style>
  <w:style w:type="table" w:styleId="875" w:customStyle="1">
    <w:name w:val="Bordered &amp; Lined - Accent 3"/>
    <w:basedOn w:val="702"/>
    <w:uiPriority w:val="99"/>
    <w:rPr>
      <w:color w:val="404040"/>
      <w:lang w:eastAsia="ru-RU"/>
    </w:rPr>
    <w:tblPr/>
  </w:style>
  <w:style w:type="table" w:styleId="876" w:customStyle="1">
    <w:name w:val="Bordered &amp; Lined - Accent 4"/>
    <w:basedOn w:val="702"/>
    <w:uiPriority w:val="99"/>
    <w:rPr>
      <w:color w:val="404040"/>
      <w:lang w:eastAsia="ru-RU"/>
    </w:rPr>
    <w:tblPr/>
  </w:style>
  <w:style w:type="table" w:styleId="877" w:customStyle="1">
    <w:name w:val="Bordered &amp; Lined - Accent 5"/>
    <w:basedOn w:val="702"/>
    <w:uiPriority w:val="99"/>
    <w:rPr>
      <w:color w:val="404040"/>
      <w:lang w:eastAsia="ru-RU"/>
    </w:rPr>
    <w:tblPr/>
  </w:style>
  <w:style w:type="table" w:styleId="878" w:customStyle="1">
    <w:name w:val="Bordered &amp; Lined - Accent 6"/>
    <w:basedOn w:val="702"/>
    <w:uiPriority w:val="99"/>
    <w:rPr>
      <w:color w:val="404040"/>
      <w:lang w:eastAsia="ru-RU"/>
    </w:rPr>
    <w:tblPr/>
  </w:style>
  <w:style w:type="table" w:styleId="879" w:customStyle="1">
    <w:name w:val="Bordered"/>
    <w:basedOn w:val="702"/>
    <w:uiPriority w:val="99"/>
    <w:tblPr/>
  </w:style>
  <w:style w:type="table" w:styleId="880" w:customStyle="1">
    <w:name w:val="Bordered - Accent 1"/>
    <w:basedOn w:val="702"/>
    <w:uiPriority w:val="99"/>
    <w:tblPr/>
  </w:style>
  <w:style w:type="table" w:styleId="881" w:customStyle="1">
    <w:name w:val="Bordered - Accent 2"/>
    <w:basedOn w:val="702"/>
    <w:uiPriority w:val="99"/>
    <w:tblPr/>
  </w:style>
  <w:style w:type="table" w:styleId="882" w:customStyle="1">
    <w:name w:val="Bordered - Accent 3"/>
    <w:basedOn w:val="702"/>
    <w:uiPriority w:val="99"/>
    <w:tblPr/>
  </w:style>
  <w:style w:type="table" w:styleId="883" w:customStyle="1">
    <w:name w:val="Bordered - Accent 4"/>
    <w:basedOn w:val="702"/>
    <w:uiPriority w:val="99"/>
    <w:tblPr/>
  </w:style>
  <w:style w:type="table" w:styleId="884" w:customStyle="1">
    <w:name w:val="Bordered - Accent 5"/>
    <w:basedOn w:val="702"/>
    <w:uiPriority w:val="99"/>
    <w:tblPr/>
  </w:style>
  <w:style w:type="table" w:styleId="885" w:customStyle="1">
    <w:name w:val="Bordered - Accent 6"/>
    <w:basedOn w:val="702"/>
    <w:uiPriority w:val="99"/>
    <w:tblPr/>
  </w:style>
  <w:style w:type="character" w:styleId="886" w:customStyle="1">
    <w:name w:val="Текст сноски Знак"/>
    <w:link w:val="727"/>
    <w:uiPriority w:val="99"/>
    <w:rPr>
      <w:sz w:val="18"/>
    </w:rPr>
  </w:style>
  <w:style w:type="character" w:styleId="887" w:customStyle="1">
    <w:name w:val="Текст концевой сноски Знак"/>
    <w:link w:val="730"/>
    <w:uiPriority w:val="99"/>
    <w:rPr>
      <w:sz w:val="20"/>
    </w:rPr>
  </w:style>
  <w:style w:type="character" w:styleId="888" w:customStyle="1">
    <w:name w:val="Верхний колонтитул Знак"/>
    <w:link w:val="722"/>
    <w:uiPriority w:val="99"/>
    <w:rPr>
      <w:lang w:val="uk-UA"/>
    </w:rPr>
  </w:style>
  <w:style w:type="character" w:styleId="889" w:customStyle="1">
    <w:name w:val="Нижний колонтитул Знак"/>
    <w:link w:val="723"/>
    <w:uiPriority w:val="99"/>
    <w:rPr>
      <w:lang w:val="uk-UA"/>
    </w:rPr>
  </w:style>
  <w:style w:type="paragraph" w:styleId="890">
    <w:name w:val="Balloon Text"/>
    <w:basedOn w:val="691"/>
    <w:link w:val="8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link w:val="890"/>
    <w:uiPriority w:val="99"/>
    <w:semiHidden/>
    <w:rPr>
      <w:rFonts w:ascii="Tahoma" w:hAnsi="Tahoma" w:cs="Tahoma"/>
      <w:sz w:val="16"/>
      <w:szCs w:val="16"/>
      <w:lang w:val="uk-UA"/>
    </w:rPr>
  </w:style>
  <w:style w:type="character" w:styleId="892" w:customStyle="1">
    <w:name w:val="Заголовок 1 Знак"/>
    <w:link w:val="692"/>
    <w:uiPriority w:val="9"/>
    <w:rPr>
      <w:rFonts w:ascii="Calibri Light" w:hAnsi="Calibri Light" w:eastAsia="Arial" w:cs="Times New Roman"/>
      <w:b/>
      <w:bCs/>
      <w:color w:val="2e74b5"/>
      <w:sz w:val="28"/>
      <w:szCs w:val="28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chart" Target="charts/chart1.xml" /><Relationship Id="rId12" Type="http://schemas.openxmlformats.org/officeDocument/2006/relationships/chart" Target="charts/chart2.xml" /><Relationship Id="rId13" Type="http://schemas.openxmlformats.org/officeDocument/2006/relationships/chart" Target="charts/chart3.xml" /><Relationship Id="rId14" Type="http://schemas.openxmlformats.org/officeDocument/2006/relationships/chart" Target="charts/chart4.xml" /><Relationship Id="rId15" Type="http://schemas.openxmlformats.org/officeDocument/2006/relationships/chart" Target="charts/chart5.xml" /><Relationship Id="rId16" Type="http://schemas.openxmlformats.org/officeDocument/2006/relationships/chart" Target="charts/chart6.xml" /><Relationship Id="rId17" Type="http://schemas.openxmlformats.org/officeDocument/2006/relationships/chart" Target="charts/chart7.xml" /><Relationship Id="rId18" Type="http://schemas.openxmlformats.org/officeDocument/2006/relationships/chart" Target="charts/chart8.xml" 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chart" Target="charts/chart9.xml" /><Relationship Id="rId22" Type="http://schemas.openxmlformats.org/officeDocument/2006/relationships/chart" Target="charts/chart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10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3.xml" /><Relationship Id="rId2" Type="http://schemas.openxmlformats.org/officeDocument/2006/relationships/package" Target="../embeddings/Microsoft_Excel_Worksheet10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1.xml" /><Relationship Id="rId2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2.xml" /><Relationship Id="rId2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-4"/>
      <c:rotY val="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292380"/>
          <c:y val="0.059990"/>
          <c:w val="0.635470"/>
          <c:h val="0.911530"/>
        </c:manualLayout>
      </c:layout>
      <c:bar3DChart>
        <c:barDir val="bar"/>
        <c:grouping val="stacked"/>
        <c:varyColors val="0"/>
        <c:ser>
          <c:idx val="0"/>
          <c:order val="0"/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42500"/>
                  <c:y val="0.0048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191280"/>
                  <c:y val="0.0096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191750"/>
                  <c:y val="0.0145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150870"/>
                  <c:y val="0.0048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155380"/>
                  <c:y val="0.0096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Лист1!$B$4:$B$9</c:f>
              <c:strCache>
                <c:ptCount val="6"/>
                <c:pt idx="0">
                  <c:v xml:space="preserve">город Краснодар</c:v>
                </c:pt>
                <c:pt idx="1">
                  <c:v xml:space="preserve">Темрюкский район</c:v>
                </c:pt>
                <c:pt idx="2">
                  <c:v xml:space="preserve">г. Новороссийск</c:v>
                </c:pt>
                <c:pt idx="3">
                  <c:v xml:space="preserve">Северский район</c:v>
                </c:pt>
                <c:pt idx="4">
                  <c:v xml:space="preserve">г. Сочи</c:v>
                </c:pt>
              </c:strCache>
            </c:strRef>
          </c:cat>
          <c:val>
            <c:numRef>
              <c:f>Лист1!$C$4:$C$9</c:f>
              <c:numCache>
                <c:formatCode>#,##0.0</c:formatCode>
                <c:ptCount val="6"/>
                <c:pt idx="0">
                  <c:v>89.6</c:v>
                </c:pt>
                <c:pt idx="1">
                  <c:v>42.6</c:v>
                </c:pt>
                <c:pt idx="2">
                  <c:v>33.2</c:v>
                </c:pt>
                <c:pt idx="3">
                  <c:v>33.2</c:v>
                </c:pt>
                <c:pt idx="4">
                  <c:v>26.6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shape val="box"/>
        <c:axId val="1866169539"/>
        <c:axId val="1866169540"/>
      </c:bar3DChart>
      <c:catAx>
        <c:axId val="1866169539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540"/>
        <c:crosses val="autoZero"/>
        <c:auto val="1"/>
        <c:lblAlgn val="ctr"/>
        <c:lblOffset val="100"/>
        <c:noMultiLvlLbl val="0"/>
      </c:catAx>
      <c:valAx>
        <c:axId val="1866169540"/>
        <c:scaling>
          <c:orientation val="minMax"/>
        </c:scaling>
        <c:delete val="1"/>
        <c:axPos val="t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186616953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3897652" cy="231556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71150"/>
          <c:y val="0.040870"/>
          <c:w val="0.840380"/>
          <c:h val="0.923660"/>
        </c:manualLayout>
      </c:layout>
      <c:pie3DChart>
        <c:varyColors val="1"/>
        <c:ser>
          <c:idx val="0"/>
          <c:order val="0"/>
          <c:explosion val="33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bubble3D val="0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Pt>
            <c:idx val="6"/>
            <c:bubble3D val="0"/>
            <c:spPr bwMode="auto">
              <a:prstGeom prst="rect">
                <a:avLst/>
              </a:prstGeom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7"/>
            <c:bubble3D val="0"/>
            <c:spPr bwMode="auto">
              <a:prstGeom prst="rect">
                <a:avLst/>
              </a:prstGeom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8"/>
            <c:bubble3D val="0"/>
            <c:spPr bwMode="auto">
              <a:prstGeom prst="rect">
                <a:avLst/>
              </a:prstGeom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9"/>
            <c:bubble3D val="0"/>
            <c:spPr bwMode="auto">
              <a:prstGeom prst="rect">
                <a:avLst/>
              </a:prstGeom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10"/>
            <c:bubble3D val="0"/>
            <c:spPr bwMode="auto">
              <a:prstGeom prst="rect">
                <a:avLst/>
              </a:prstGeom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>
                <c:manualLayout>
                  <c:x val="0.196430"/>
                  <c:y val="-0.1175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dLblPos val="ctr"/>
              <c:layout>
                <c:manualLayout>
                  <c:x val="0.232950"/>
                  <c:y val="-0.0444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dLblPos val="ctr"/>
              <c:layout>
                <c:manualLayout>
                  <c:x val="0.243550"/>
                  <c:y val="-0.02251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dLblPos val="ctr"/>
              <c:layout>
                <c:manualLayout>
                  <c:x val="0.246390"/>
                  <c:y val="0.0194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dLblPos val="ctr"/>
              <c:layout>
                <c:manualLayout>
                  <c:x val="0.238630"/>
                  <c:y val="0.17509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5"/>
              <c:dLblPos val="ctr"/>
              <c:layout>
                <c:manualLayout>
                  <c:x val="0.114250"/>
                  <c:y val="0.2725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6"/>
              <c:dLblPos val="ctr"/>
              <c:layout>
                <c:manualLayout>
                  <c:x val="-0.076000"/>
                  <c:y val="0.2783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7"/>
              <c:dLblPos val="ctr"/>
              <c:layout>
                <c:manualLayout>
                  <c:x val="-0.157000"/>
                  <c:y val="0.2515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8"/>
              <c:dLblPos val="ctr"/>
              <c:layout>
                <c:manualLayout>
                  <c:x val="-0.205260"/>
                  <c:y val="0.22869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9"/>
              <c:dLblPos val="ctr"/>
              <c:layout>
                <c:manualLayout>
                  <c:x val="-0.244310"/>
                  <c:y val="0.1695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0"/>
              <c:dLblPos val="ctr"/>
              <c:layout>
                <c:manualLayout>
                  <c:x val="-0.249080"/>
                  <c:y val="-0.10645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Лист1!$A$4:$A$14</c:f>
              <c:strCache>
                <c:ptCount val="11"/>
                <c:pt idx="0">
                  <c:v xml:space="preserve">финансовая деят.</c:v>
                </c:pt>
                <c:pt idx="1">
                  <c:v>связь</c:v>
                </c:pt>
                <c:pt idx="2">
                  <c:v>транспорт</c:v>
                </c:pt>
                <c:pt idx="3">
                  <c:v>туризм</c:v>
                </c:pt>
                <c:pt idx="4">
                  <c:v>торговля</c:v>
                </c:pt>
                <c:pt idx="5">
                  <c:v>строительство</c:v>
                </c:pt>
                <c:pt idx="6">
                  <c:v>ЖКХ</c:v>
                </c:pt>
                <c:pt idx="7">
                  <c:v xml:space="preserve">промышленность </c:v>
                </c:pt>
                <c:pt idx="8">
                  <c:v xml:space="preserve">соц. инфраструктура</c:v>
                </c:pt>
                <c:pt idx="9">
                  <c:v xml:space="preserve">сельское хозяйство</c:v>
                </c:pt>
                <c:pt idx="10">
                  <c:v xml:space="preserve">прочие услуги</c:v>
                </c:pt>
              </c:strCache>
            </c:strRef>
          </c:cat>
          <c:val>
            <c:numRef>
              <c:f>Лист1!$C$4:$C$14</c:f>
              <c:numCache>
                <c:formatCode>#,##0.0</c:formatCode>
                <c:ptCount val="11"/>
                <c:pt idx="0">
                  <c:v>16.46525679758308</c:v>
                </c:pt>
                <c:pt idx="1">
                  <c:v>5.589123867069486</c:v>
                </c:pt>
                <c:pt idx="2">
                  <c:v>3.6253776435045313</c:v>
                </c:pt>
                <c:pt idx="3">
                  <c:v>0.1510574018126888</c:v>
                </c:pt>
                <c:pt idx="4">
                  <c:v>16.012084592145015</c:v>
                </c:pt>
                <c:pt idx="5">
                  <c:v>6.797583081570997</c:v>
                </c:pt>
                <c:pt idx="6">
                  <c:v>9.365558912386707</c:v>
                </c:pt>
                <c:pt idx="7">
                  <c:v>4.531722054380665</c:v>
                </c:pt>
                <c:pt idx="8">
                  <c:v>3.4743202416918426</c:v>
                </c:pt>
                <c:pt idx="9">
                  <c:v>0.4531722054380664</c:v>
                </c:pt>
                <c:pt idx="10">
                  <c:v>33.53474320241692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 rot="0" flipH="0" flipV="0">
      <a:off x="0" y="0"/>
      <a:ext cx="2695574" cy="220979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  <a:round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64680"/>
          <c:y val="0.174690"/>
          <c:w val="0.946130"/>
          <c:h val="0.719600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  <a:beve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explosion val="39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  <a:beve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dLblPos val="ctr"/>
              <c:layout>
                <c:manualLayout>
                  <c:x val="0.169350"/>
                  <c:y val="-0.1190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dLblPos val="ctr"/>
              <c:layout>
                <c:manualLayout>
                  <c:x val="-0.031710"/>
                  <c:y val="-0.0078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ctr"/>
            <c:leaderLines>
              <c:spPr bwMode="auto">
                <a:prstGeom prst="rect">
                  <a:avLst/>
                </a:prstGeom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7" tIns="19047" rIns="38097" bIns="19047" anchor="ctr" anchorCtr="1">
                <a:spAutoFit/>
              </a:bodyPr>
              <a:lstStyle/>
              <a:p>
                <a:pPr>
                  <a:defRPr sz="90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Лист1!$L$5:$L$6</c:f>
              <c:strCache>
                <c:ptCount val="2"/>
                <c:pt idx="0">
                  <c:v xml:space="preserve">Краснодар </c:v>
                </c:pt>
                <c:pt idx="1">
                  <c:v xml:space="preserve">Краснодарский край </c:v>
                </c:pt>
              </c:strCache>
            </c:strRef>
          </c:cat>
          <c:val>
            <c:numRef>
              <c:f>Лист1!$M$5:$M$6</c:f>
              <c:numCache>
                <c:formatCode>0.0%</c:formatCode>
                <c:ptCount val="2"/>
                <c:pt idx="0">
                  <c:v>0.284</c:v>
                </c:pt>
                <c:pt idx="1">
                  <c:v>0.716</c:v>
                </c:pt>
              </c:numCache>
            </c:numRef>
          </c:val>
        </c:ser>
        <c:dLbls>
          <c:dLblPos val="ctr"/>
          <c:showBubbleSize val="0"/>
          <c:showCatName val="0"/>
          <c:showLeaderLines val="1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1948320" cy="2315560"/>
    </a:xfrm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tx2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400" i="1">
                <a:latin typeface="Times New Roman"/>
                <a:cs typeface="Times New Roman"/>
              </a:rPr>
              <a:t>1 полугодие 2024 года </a:t>
            </a:r>
            <a:endParaRPr lang="en-US" sz="1400" i="1"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241060"/>
          <c:y val="0.01815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06480"/>
          <c:y val="0.203810"/>
          <c:w val="0.521240"/>
          <c:h val="0.607450"/>
        </c:manualLayout>
      </c:layout>
      <c:pie3DChart>
        <c:varyColors val="1"/>
        <c:ser>
          <c:idx val="0"/>
          <c:order val="0"/>
          <c:tx>
            <c:strRef>
              <c:f>Лист1!$D$4</c:f>
              <c:strCache>
                <c:ptCount val="1"/>
                <c:pt idx="0">
                  <c:v>%</c:v>
                </c:pt>
              </c:strCache>
            </c:strRef>
          </c:tx>
          <c:explosion val="25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explosion val="29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0.015230"/>
                  <c:y val="-0.008475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22520"/>
                  <c:y val="-0.0132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-0.070200"/>
                  <c:y val="0.1030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51510"/>
                  <c:y val="-0.048233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Лист1!$B$5:$B$8</c:f>
              <c:strCache>
                <c:ptCount val="4"/>
                <c:pt idx="0">
                  <c:v xml:space="preserve">кредиты банков</c:v>
                </c:pt>
                <c:pt idx="1">
                  <c:v xml:space="preserve">заемные средства других организаций</c:v>
                </c:pt>
                <c:pt idx="2">
                  <c:v xml:space="preserve"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Лист1!$D$5:$D$8</c:f>
              <c:numCache>
                <c:formatCode>0.0</c:formatCode>
                <c:ptCount val="4"/>
                <c:pt idx="0">
                  <c:v>5.4</c:v>
                </c:pt>
                <c:pt idx="1">
                  <c:v>19.1</c:v>
                </c:pt>
                <c:pt idx="2">
                  <c:v>68.3</c:v>
                </c:pt>
                <c:pt idx="3">
                  <c:v>7.2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5570"/>
          <c:y val="0.235520"/>
          <c:w val="0.394420"/>
          <c:h val="0.73891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3523170" cy="2188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59460"/>
          <c:y val="0.186910"/>
          <c:w val="0.886520"/>
          <c:h val="0.780160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000570"/>
                  <c:y val="-0.0042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15680"/>
                  <c:y val="0.0220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-0.136940"/>
                  <c:y val="0.0888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30360"/>
                  <c:y val="-0.0018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068580"/>
                  <c:y val="0.0722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Лист1!$B$5:$B$8</c:f>
              <c:strCache>
                <c:ptCount val="4"/>
                <c:pt idx="0">
                  <c:v xml:space="preserve">кредиты банков</c:v>
                </c:pt>
                <c:pt idx="1">
                  <c:v xml:space="preserve">заемные средства других организаций</c:v>
                </c:pt>
                <c:pt idx="2">
                  <c:v xml:space="preserve"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Лист1!$F$5:$F$8</c:f>
              <c:numCache>
                <c:formatCode>0.0</c:formatCode>
                <c:ptCount val="4"/>
                <c:pt idx="0">
                  <c:v>6.7</c:v>
                </c:pt>
                <c:pt idx="1">
                  <c:v>23</c:v>
                </c:pt>
                <c:pt idx="2">
                  <c:v>61.6</c:v>
                </c:pt>
                <c:pt idx="3">
                  <c:v>8.7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2276474" cy="218844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41480"/>
          <c:y val="0.046700"/>
          <c:w val="0.961950"/>
          <c:h val="0.57018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 xml:space="preserve">1 пл 2024 года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7020"/>
                  <c:y val="-0.0545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9510"/>
                  <c:y val="-0.0540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11080"/>
                  <c:y val="-0.0491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-0.011230"/>
                  <c:y val="-0.0392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007490"/>
                  <c:y val="-0.0106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5"/>
              <c:layout>
                <c:manualLayout>
                  <c:x val="0.011230"/>
                  <c:y val="-0.0141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Лист1!$B$5:$B$8</c:f>
              <c:strCache>
                <c:ptCount val="4"/>
                <c:pt idx="0">
                  <c:v xml:space="preserve">кредиты банков</c:v>
                </c:pt>
                <c:pt idx="1">
                  <c:v xml:space="preserve">заемные средства других организаций</c:v>
                </c:pt>
                <c:pt idx="2">
                  <c:v xml:space="preserve"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Лист1!$C$5:$C$8</c:f>
              <c:numCache>
                <c:formatCode>General</c:formatCode>
                <c:ptCount val="4"/>
                <c:pt idx="0">
                  <c:v>1.6</c:v>
                </c:pt>
                <c:pt idx="1">
                  <c:v>5.7</c:v>
                </c:pt>
                <c:pt idx="2" formatCode="0.0">
                  <c:v>20.6</c:v>
                </c:pt>
                <c:pt idx="3" formatCode="0.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Лист1!$E$4</c:f>
              <c:strCache>
                <c:ptCount val="1"/>
                <c:pt idx="0">
                  <c:v xml:space="preserve">1 пл 2023 года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19220"/>
                  <c:y val="-0.0512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20410"/>
                  <c:y val="-0.0363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17160"/>
                  <c:y val="-0.0419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13100"/>
                  <c:y val="-0.03968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024340"/>
                  <c:y val="-0.0039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5"/>
              <c:layout>
                <c:manualLayout>
                  <c:x val="0.027720"/>
                  <c:y val="-0.00849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Лист1!$B$5:$B$8</c:f>
              <c:strCache>
                <c:ptCount val="4"/>
                <c:pt idx="0">
                  <c:v xml:space="preserve">кредиты банков</c:v>
                </c:pt>
                <c:pt idx="1">
                  <c:v xml:space="preserve">заемные средства других организаций</c:v>
                </c:pt>
                <c:pt idx="2">
                  <c:v xml:space="preserve">бюджетные средства </c:v>
                </c:pt>
                <c:pt idx="3">
                  <c:v>прочие</c:v>
                </c:pt>
              </c:strCache>
            </c:strRef>
          </c:cat>
          <c:val>
            <c:numRef>
              <c:f>Лист1!$E$5:$E$8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18.6</c:v>
                </c:pt>
                <c:pt idx="3">
                  <c:v>2.5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2140789877"/>
        <c:axId val="2140789878"/>
      </c:bar3DChart>
      <c:catAx>
        <c:axId val="214078987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none" spc="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89878"/>
        <c:crosses val="autoZero"/>
        <c:auto val="1"/>
        <c:lblAlgn val="ctr"/>
        <c:lblOffset val="100"/>
        <c:noMultiLvlLbl val="0"/>
      </c:catAx>
      <c:valAx>
        <c:axId val="214078987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8987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543583" cy="195962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 полугодие 2023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</c:title>
    <c:autoTitleDeleted val="0"/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029220"/>
          <c:y val="0.126160"/>
          <c:w val="0.937660"/>
          <c:h val="0.622740"/>
        </c:manualLayout>
      </c:layout>
      <c:pie3D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inEnd"/>
              <c:layout>
                <c:manualLayout>
                  <c:x val="0.092040"/>
                  <c:y val="-0.05943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dLblPos val="inEnd"/>
              <c:layout>
                <c:manualLayout>
                  <c:x val="-0.126590"/>
                  <c:y val="0.09179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dLblPos val="inEnd"/>
              <c:layout>
                <c:manualLayout>
                  <c:x val="-0.049150"/>
                  <c:y val="-0.0506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dLblPos val="inEnd"/>
              <c:layout>
                <c:manualLayout>
                  <c:x val="-0.021420"/>
                  <c:y val="-0.0414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dLblPos val="inEnd"/>
              <c:layout>
                <c:manualLayout>
                  <c:x val="0.016530"/>
                  <c:y val="-0.04351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'Лист1'!$A$13:$A$17</c:f>
              <c:strCache>
                <c:ptCount val="5"/>
                <c:pt idx="0">
                  <c:v xml:space="preserve">здания (кроме жилых) и сооружения</c:v>
                </c:pt>
                <c:pt idx="1">
                  <c:v xml:space="preserve">машины и оборудование, включая хозяйственный инвентарь и другие объекты</c:v>
                </c:pt>
                <c:pt idx="2">
                  <c:v xml:space="preserve">жилые здания и помещения</c:v>
                </c:pt>
                <c:pt idx="3">
                  <c:v xml:space="preserve">объекты интеллектуальной собственности</c:v>
                </c:pt>
                <c:pt idx="4">
                  <c:v>прочие</c:v>
                </c:pt>
              </c:strCache>
            </c:strRef>
          </c:cat>
          <c:val>
            <c:numRef>
              <c:f>'Лист1'!$B$13:$B$17</c:f>
              <c:numCache>
                <c:formatCode>0.0%</c:formatCode>
                <c:ptCount val="5"/>
                <c:pt idx="0">
                  <c:v>0.518</c:v>
                </c:pt>
                <c:pt idx="1">
                  <c:v>0.413</c:v>
                </c:pt>
                <c:pt idx="2">
                  <c:v>0.033</c:v>
                </c:pt>
                <c:pt idx="3">
                  <c:v>0.016</c:v>
                </c:pt>
                <c:pt idx="4">
                  <c:v>0.02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4889459" cy="312202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 полугодие 2024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</c:title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  <a:bevel/>
              </a:ln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>
                <c:manualLayout>
                  <c:x val="0.161080"/>
                  <c:y val="-0.0979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dLblPos val="ctr"/>
              <c:layout>
                <c:manualLayout>
                  <c:x val="-0.290860"/>
                  <c:y val="0.2822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dLblPos val="ctr"/>
              <c:layout>
                <c:manualLayout>
                  <c:x val="-0.161080"/>
                  <c:y val="-0.0804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dLblPos val="ctr"/>
              <c:layout>
                <c:manualLayout>
                  <c:x val="-0.081580"/>
                  <c:y val="-0.1398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dLblPos val="ctr"/>
              <c:layout>
                <c:manualLayout>
                  <c:x val="-0.010460"/>
                  <c:y val="-0.1398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ctr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'Лист1'!$A$22:$A$26</c:f>
              <c:strCache>
                <c:ptCount val="5"/>
                <c:pt idx="0">
                  <c:v xml:space="preserve">здания (кроме жилых) и сооружения</c:v>
                </c:pt>
                <c:pt idx="1">
                  <c:v xml:space="preserve">машины и оборудование, включая хозяйственный инвентарь и другие объекты</c:v>
                </c:pt>
                <c:pt idx="2">
                  <c:v xml:space="preserve">жилые здания и помещения</c:v>
                </c:pt>
                <c:pt idx="3">
                  <c:v xml:space="preserve">объекты интеллектуальной собственности</c:v>
                </c:pt>
                <c:pt idx="4">
                  <c:v>прочие</c:v>
                </c:pt>
              </c:strCache>
            </c:strRef>
          </c:cat>
          <c:val>
            <c:numRef>
              <c:f>'Лист1'!$B$22:$B$26</c:f>
              <c:numCache>
                <c:formatCode>0.0%</c:formatCode>
                <c:ptCount val="5"/>
                <c:pt idx="0">
                  <c:v>0.389</c:v>
                </c:pt>
                <c:pt idx="1">
                  <c:v>0.40299999999999997</c:v>
                </c:pt>
                <c:pt idx="2">
                  <c:v>0.085</c:v>
                </c:pt>
                <c:pt idx="3">
                  <c:v>0.098</c:v>
                </c:pt>
                <c:pt idx="4">
                  <c:v>0.025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027680" cy="225846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46290"/>
          <c:y val="0.006040"/>
          <c:w val="0.892240"/>
          <c:h val="0.66246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 xml:space="preserve"> 1 пл 2024 год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0.003940"/>
                  <c:y val="-0.0038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005690"/>
                  <c:y val="-0.0068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8"/>
              <c:layout>
                <c:manualLayout>
                  <c:x val="0.003790"/>
                  <c:y val="-0.0068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Лист1!$A$4:$A$14</c:f>
              <c:strCache>
                <c:ptCount val="11"/>
                <c:pt idx="0">
                  <c:v xml:space="preserve">финансовая деят.</c:v>
                </c:pt>
                <c:pt idx="1">
                  <c:v>связь</c:v>
                </c:pt>
                <c:pt idx="2">
                  <c:v>транспорт</c:v>
                </c:pt>
                <c:pt idx="3">
                  <c:v>туризм</c:v>
                </c:pt>
                <c:pt idx="4">
                  <c:v>торговля</c:v>
                </c:pt>
                <c:pt idx="5">
                  <c:v>строительство</c:v>
                </c:pt>
                <c:pt idx="6">
                  <c:v>ЖКХ</c:v>
                </c:pt>
                <c:pt idx="7">
                  <c:v xml:space="preserve">промышленность </c:v>
                </c:pt>
                <c:pt idx="8">
                  <c:v xml:space="preserve">соц. инфраструктура</c:v>
                </c:pt>
                <c:pt idx="9">
                  <c:v xml:space="preserve">сельское хозяйство</c:v>
                </c:pt>
                <c:pt idx="10">
                  <c:v xml:space="preserve">прочие услуги</c:v>
                </c:pt>
              </c:strCache>
            </c:strRef>
          </c:cat>
          <c:val>
            <c:numRef>
              <c:f>Лист1!$D$4:$D$14</c:f>
              <c:numCache>
                <c:formatCode>#,##0.0</c:formatCode>
                <c:ptCount val="11"/>
                <c:pt idx="0">
                  <c:v>10</c:v>
                </c:pt>
                <c:pt idx="1">
                  <c:v>5.5</c:v>
                </c:pt>
                <c:pt idx="2">
                  <c:v>11.9</c:v>
                </c:pt>
                <c:pt idx="3">
                  <c:v>0.3</c:v>
                </c:pt>
                <c:pt idx="4">
                  <c:v>20</c:v>
                </c:pt>
                <c:pt idx="5">
                  <c:v>9.2</c:v>
                </c:pt>
                <c:pt idx="6">
                  <c:v>6.5</c:v>
                </c:pt>
                <c:pt idx="7">
                  <c:v>3.2</c:v>
                </c:pt>
                <c:pt idx="8">
                  <c:v>2.8</c:v>
                </c:pt>
                <c:pt idx="9" formatCode="#,##0.00">
                  <c:v>0.8</c:v>
                </c:pt>
                <c:pt idx="1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 xml:space="preserve">1 пл 2023 год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.00569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1329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1329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7740"/>
                  <c:y val="-0.0076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layout>
                <c:manualLayout>
                  <c:x val="0.013290"/>
                  <c:y val="-0.01372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5"/>
              <c:layout>
                <c:manualLayout>
                  <c:x val="0.01329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6"/>
              <c:layout>
                <c:manualLayout>
                  <c:x val="0.01329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7"/>
              <c:layout>
                <c:manualLayout>
                  <c:x val="0.015190"/>
                  <c:y val="0.00000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8"/>
              <c:layout>
                <c:manualLayout>
                  <c:x val="0.017090"/>
                  <c:y val="-0.00343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9"/>
              <c:layout>
                <c:manualLayout>
                  <c:x val="0.016480"/>
                  <c:y val="-0.01467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Лист1!$A$4:$A$14</c:f>
              <c:strCache>
                <c:ptCount val="11"/>
                <c:pt idx="0">
                  <c:v xml:space="preserve">финансовая деят.</c:v>
                </c:pt>
                <c:pt idx="1">
                  <c:v>связь</c:v>
                </c:pt>
                <c:pt idx="2">
                  <c:v>транспорт</c:v>
                </c:pt>
                <c:pt idx="3">
                  <c:v>туризм</c:v>
                </c:pt>
                <c:pt idx="4">
                  <c:v>торговля</c:v>
                </c:pt>
                <c:pt idx="5">
                  <c:v>строительство</c:v>
                </c:pt>
                <c:pt idx="6">
                  <c:v>ЖКХ</c:v>
                </c:pt>
                <c:pt idx="7">
                  <c:v xml:space="preserve">промышленность </c:v>
                </c:pt>
                <c:pt idx="8">
                  <c:v xml:space="preserve">соц. инфраструктура</c:v>
                </c:pt>
                <c:pt idx="9">
                  <c:v xml:space="preserve">сельское хозяйство</c:v>
                </c:pt>
                <c:pt idx="10">
                  <c:v xml:space="preserve">прочие услуги</c:v>
                </c:pt>
              </c:strCache>
            </c:strRef>
          </c:cat>
          <c:val>
            <c:numRef>
              <c:f>Лист1!$B$4:$B$14</c:f>
              <c:numCache>
                <c:formatCode>#,##0.0</c:formatCode>
                <c:ptCount val="11"/>
                <c:pt idx="0">
                  <c:v>10.9</c:v>
                </c:pt>
                <c:pt idx="1">
                  <c:v>3.7</c:v>
                </c:pt>
                <c:pt idx="2">
                  <c:v>2.4</c:v>
                </c:pt>
                <c:pt idx="3">
                  <c:v>0.1</c:v>
                </c:pt>
                <c:pt idx="4">
                  <c:v>10.6</c:v>
                </c:pt>
                <c:pt idx="5">
                  <c:v>4.5</c:v>
                </c:pt>
                <c:pt idx="6">
                  <c:v>6.2</c:v>
                </c:pt>
                <c:pt idx="7">
                  <c:v>3</c:v>
                </c:pt>
                <c:pt idx="8">
                  <c:v>2.3</c:v>
                </c:pt>
                <c:pt idx="9" formatCode="#,##0.00">
                  <c:v>0.3</c:v>
                </c:pt>
                <c:pt idx="10">
                  <c:v>22.2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2140789879"/>
        <c:axId val="2140789880"/>
      </c:bar3DChart>
      <c:catAx>
        <c:axId val="214078987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89880"/>
        <c:crosses val="autoZero"/>
        <c:auto val="1"/>
        <c:lblAlgn val="ctr"/>
        <c:lblOffset val="100"/>
        <c:noMultiLvlLbl val="0"/>
      </c:catAx>
      <c:valAx>
        <c:axId val="214078988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8987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939789" cy="355513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  <a:round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83050"/>
          <c:y val="0.100320"/>
          <c:w val="0.537210"/>
          <c:h val="0.837830"/>
        </c:manualLayout>
      </c:layout>
      <c:pie3DChart>
        <c:varyColors val="1"/>
        <c:ser>
          <c:idx val="0"/>
          <c:order val="0"/>
          <c:explosion val="37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bubble3D val="0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Pt>
            <c:idx val="6"/>
            <c:bubble3D val="0"/>
            <c:spPr bwMode="auto">
              <a:prstGeom prst="rect">
                <a:avLst/>
              </a:prstGeom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7"/>
            <c:bubble3D val="0"/>
            <c:spPr bwMode="auto">
              <a:prstGeom prst="rect">
                <a:avLst/>
              </a:prstGeom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8"/>
            <c:bubble3D val="0"/>
            <c:spPr bwMode="auto">
              <a:prstGeom prst="rect">
                <a:avLst/>
              </a:prstGeom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9"/>
            <c:bubble3D val="0"/>
            <c:spPr bwMode="auto">
              <a:prstGeom prst="rect">
                <a:avLst/>
              </a:prstGeom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Pt>
            <c:idx val="10"/>
            <c:bubble3D val="0"/>
            <c:spPr bwMode="auto">
              <a:prstGeom prst="rect">
                <a:avLst/>
              </a:prstGeom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bestFit"/>
              <c:layout>
                <c:manualLayout>
                  <c:x val="0.036320"/>
                  <c:y val="0.0391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dLblPos val="ctr"/>
              <c:layout>
                <c:manualLayout>
                  <c:x val="0.164110"/>
                  <c:y val="-0.0421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dLblPos val="ctr"/>
              <c:layout>
                <c:manualLayout>
                  <c:x val="0.180730"/>
                  <c:y val="0.00648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dLblPos val="ctr"/>
              <c:layout>
                <c:manualLayout>
                  <c:x val="0.178660"/>
                  <c:y val="0.06156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4"/>
              <c:dLblPos val="ctr"/>
              <c:layout>
                <c:manualLayout>
                  <c:x val="0.145420"/>
                  <c:y val="0.29587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5"/>
              <c:dLblPos val="ctr"/>
              <c:layout>
                <c:manualLayout>
                  <c:x val="-0.105950"/>
                  <c:y val="0.2906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6"/>
              <c:dLblPos val="ctr"/>
              <c:layout>
                <c:manualLayout>
                  <c:x val="-0.149570"/>
                  <c:y val="0.16848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7"/>
              <c:dLblPos val="ctr"/>
              <c:layout>
                <c:manualLayout>
                  <c:x val="-0.151650"/>
                  <c:y val="0.03564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8"/>
              <c:dLblPos val="ctr"/>
              <c:layout>
                <c:manualLayout>
                  <c:x val="-0.147500"/>
                  <c:y val="0.00000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9"/>
              <c:dLblPos val="ctr"/>
              <c:layout>
                <c:manualLayout>
                  <c:x val="-0.141260"/>
                  <c:y val="-0.0421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0"/>
              <c:dLblPos val="ctr"/>
              <c:layout>
                <c:manualLayout>
                  <c:x val="-0.054010"/>
                  <c:y val="-0.106920"/>
                </c:manualLayout>
              </c:layout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Лист1!$A$4:$A$14</c:f>
              <c:strCache>
                <c:ptCount val="11"/>
                <c:pt idx="0">
                  <c:v xml:space="preserve">финансовая деят.</c:v>
                </c:pt>
                <c:pt idx="1">
                  <c:v>связь</c:v>
                </c:pt>
                <c:pt idx="2">
                  <c:v>транспорт</c:v>
                </c:pt>
                <c:pt idx="3">
                  <c:v>туризм</c:v>
                </c:pt>
                <c:pt idx="4">
                  <c:v>торговля</c:v>
                </c:pt>
                <c:pt idx="5">
                  <c:v>строительство</c:v>
                </c:pt>
                <c:pt idx="6">
                  <c:v>ЖКХ</c:v>
                </c:pt>
                <c:pt idx="7">
                  <c:v xml:space="preserve">промышленность </c:v>
                </c:pt>
                <c:pt idx="8">
                  <c:v xml:space="preserve">соц. инфраструктура</c:v>
                </c:pt>
                <c:pt idx="9">
                  <c:v xml:space="preserve">сельское хозяйство</c:v>
                </c:pt>
                <c:pt idx="10">
                  <c:v xml:space="preserve">прочие услуги</c:v>
                </c:pt>
              </c:strCache>
            </c:strRef>
          </c:cat>
          <c:val>
            <c:numRef>
              <c:f>Лист1!$E$4:$E$14</c:f>
              <c:numCache>
                <c:formatCode>#,##0.0</c:formatCode>
                <c:ptCount val="11"/>
                <c:pt idx="0">
                  <c:v>11.210762331838565</c:v>
                </c:pt>
                <c:pt idx="1">
                  <c:v>6.165919282511211</c:v>
                </c:pt>
                <c:pt idx="2">
                  <c:v>13.340807174887892</c:v>
                </c:pt>
                <c:pt idx="3">
                  <c:v>0.3363228699551569</c:v>
                </c:pt>
                <c:pt idx="4">
                  <c:v>22.42152466367713</c:v>
                </c:pt>
                <c:pt idx="5">
                  <c:v>10.313901345291479</c:v>
                </c:pt>
                <c:pt idx="6">
                  <c:v>7.286995515695067</c:v>
                </c:pt>
                <c:pt idx="7">
                  <c:v>3.587443946188341</c:v>
                </c:pt>
                <c:pt idx="8">
                  <c:v>3.1390134529147984</c:v>
                </c:pt>
                <c:pt idx="9">
                  <c:v>0.8968609865470852</c:v>
                </c:pt>
                <c:pt idx="10">
                  <c:v>21.300448430493272</c:v>
                </c:pt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 rot="0" flipH="0" flipV="0">
      <a:off x="0" y="0"/>
      <a:ext cx="4686436" cy="249653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drawings/_rels/.rels><?xml version="1.0" encoding="UTF-8" standalone="yes"?><Relationships xmlns="http://schemas.openxmlformats.org/package/2006/relationships"></Relationships>
</file>

<file path=word/drawings/drawing1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0.74792000000000003</cdr:x>
      <cdr:y>0.085070000000000007</cdr:y>
    </cdr:from>
    <cdr:to>
      <cdr:x>0.94791999999999998</cdr:x>
      <cdr:y>0.41839999999999999</cdr:y>
    </cdr:to>
    <cdr:sp>
      <cdr:nvSpPr>
        <cdr:cNvPr id="889870419" name="TextBox 1"/>
        <cdr:cNvSpPr txBox="1"/>
      </cdr:nvSpPr>
      <cdr:spPr bwMode="auto">
        <a:xfrm>
          <a:off x="3419474" y="233362"/>
          <a:ext cx="914400" cy="914400"/>
        </a:xfrm>
        <a:prstGeom prst="rect">
          <a:avLst/>
        </a:prstGeom>
      </cdr:spPr>
      <cdr:txBody>
        <a:bodyPr vertOverflow="clip" wrap="none" rtlCol="0"/>
        <a:lstStyle/>
        <a:p>
          <a:pPr>
            <a:defRPr/>
          </a:pPr>
          <a:endParaRPr lang="ru-RU" sz="1100"/>
        </a:p>
      </cdr:txBody>
    </cdr:sp>
  </cdr:relSizeAnchor>
  <cdr:relSizeAnchor>
    <cdr:from>
      <cdr:x>0.22450000000000001</cdr:x>
      <cdr:y>0</cdr:y>
    </cdr:from>
    <cdr:to>
      <cdr:x>0.78620000000000001</cdr:x>
      <cdr:y>0.17014000000000001</cdr:y>
    </cdr:to>
    <cdr:sp>
      <cdr:nvSpPr>
        <cdr:cNvPr id="1271771429" name="TextBox 2"/>
        <cdr:cNvSpPr txBox="1"/>
      </cdr:nvSpPr>
      <cdr:spPr bwMode="auto">
        <a:xfrm>
          <a:off x="528181" y="0"/>
          <a:ext cx="1321497" cy="466725"/>
        </a:xfrm>
        <a:prstGeom prst="rect">
          <a:avLst/>
        </a:prstGeom>
      </cdr:spPr>
      <cdr:txBody>
        <a:bodyPr vertOverflow="clip" wrap="none" rtlCol="0"/>
        <a:lstStyle/>
        <a:p>
          <a:pPr marL="0" marR="0" indent="0" algn="ctr" defTabSz="914400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defRPr/>
          </a:pPr>
          <a:r>
            <a:rPr lang="ru-RU" sz="1400" b="1" i="1">
              <a:solidFill>
                <a:sysClr val="windowText" lastClr="000000"/>
              </a:solidFill>
              <a:latin typeface="Times New Roman"/>
              <a:cs typeface="Times New Roman"/>
            </a:rPr>
            <a:t> 1 квартал </a:t>
          </a:r>
          <a:r>
            <a:rPr lang="ru-RU" sz="1400" b="1" i="1">
              <a:latin typeface="Times New Roman"/>
              <a:ea typeface="Arial"/>
              <a:cs typeface="Times New Roman"/>
            </a:rPr>
            <a:t>2023 года</a:t>
          </a:r>
          <a:endParaRPr lang="ru-RU" sz="1400">
            <a:latin typeface="Times New Roman"/>
            <a:cs typeface="Times New Roman"/>
          </a:endParaRPr>
        </a:p>
        <a:p>
          <a:pPr algn="ctr">
            <a:defRPr/>
          </a:pPr>
          <a:endParaRPr lang="ru-RU" sz="1400" b="1" i="1">
            <a:solidFill>
              <a:sysClr val="windowText" lastClr="000000"/>
            </a:solidFill>
            <a:latin typeface="Times New Roman"/>
            <a:cs typeface="Times New Roman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0.16897999999999999</cdr:x>
      <cdr:y>0.01338</cdr:y>
    </cdr:from>
    <cdr:to>
      <cdr:x>0.60779000000000005</cdr:x>
      <cdr:y>0.1338</cdr:y>
    </cdr:to>
    <cdr:sp>
      <cdr:nvSpPr>
        <cdr:cNvPr id="1629246384" name="TextBox 1"/>
        <cdr:cNvSpPr txBox="1"/>
      </cdr:nvSpPr>
      <cdr:spPr bwMode="auto">
        <a:xfrm>
          <a:off x="581031" y="29445"/>
          <a:ext cx="1508859" cy="264955"/>
        </a:xfrm>
        <a:prstGeom prst="rect">
          <a:avLst/>
        </a:prstGeom>
      </cdr:spPr>
      <cdr:txBody>
        <a:bodyPr vertOverflow="clip" wrap="square" rtlCol="0"/>
        <a:lstStyle/>
        <a:p>
          <a:pPr>
            <a:defRPr/>
          </a:pPr>
          <a:r>
            <a:rPr lang="ru-RU" sz="1100" b="1"/>
            <a:t> 2022 год</a:t>
          </a:r>
          <a:endParaRPr/>
        </a:p>
      </cdr:txBody>
    </cdr:sp>
  </cdr:relSizeAnchor>
</c:userShapes>
</file>

<file path=word/drawings/drawing3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0.25572</cdr:x>
      <cdr:y>0.047829999999999998</cdr:y>
    </cdr:from>
    <cdr:to>
      <cdr:x>0.83587</cdr:x>
      <cdr:y>0.14782000000000001</cdr:y>
    </cdr:to>
    <cdr:sp>
      <cdr:nvSpPr>
        <cdr:cNvPr id="2025310548" name="TextBox 1"/>
        <cdr:cNvSpPr txBox="1"/>
      </cdr:nvSpPr>
      <cdr:spPr bwMode="auto">
        <a:xfrm>
          <a:off x="638172" y="104772"/>
          <a:ext cx="1447794" cy="219072"/>
        </a:xfrm>
        <a:prstGeom prst="rect">
          <a:avLst/>
        </a:prstGeom>
      </cdr:spPr>
      <cdr:txBody>
        <a:bodyPr vertOverflow="clip" wrap="none" rtlCol="0"/>
        <a:lstStyle/>
        <a:p>
          <a:pPr>
            <a:defRPr/>
          </a:pPr>
          <a:r>
            <a:rPr lang="en-US" sz="1100" b="1"/>
            <a:t>                     </a:t>
          </a:r>
          <a:r>
            <a:rPr lang="ru-RU" sz="1100" b="1"/>
            <a:t>2023 год 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revision>22</cp:revision>
  <dcterms:created xsi:type="dcterms:W3CDTF">2024-09-23T11:06:00Z</dcterms:created>
  <dcterms:modified xsi:type="dcterms:W3CDTF">2024-09-27T07:52:26Z</dcterms:modified>
  <cp:version>1048576</cp:version>
</cp:coreProperties>
</file>